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ind w:firstLine="320"/>
        <w:rPr>
          <w:rFonts w:hint="default" w:ascii="Times New Roman" w:hAnsi="Times New Roman" w:eastAsia="方正小标宋简体" w:cs="Times New Roman"/>
          <w:color w:val="auto"/>
          <w:highlight w:val="none"/>
        </w:rPr>
      </w:pPr>
    </w:p>
    <w:p>
      <w:pPr>
        <w:pStyle w:val="7"/>
        <w:ind w:firstLine="320"/>
        <w:rPr>
          <w:rFonts w:hint="default" w:ascii="Times New Roman" w:hAnsi="Times New Roman" w:eastAsia="方正小标宋简体" w:cs="Times New Roman"/>
          <w:color w:val="auto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highlight w:val="none"/>
        </w:rPr>
        <w:t>南昌市城市照明设施管理办法</w:t>
      </w:r>
      <w:bookmarkEnd w:id="0"/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>
      <w:pPr>
        <w:pStyle w:val="8"/>
        <w:rPr>
          <w:rFonts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（2006年1月19日市人民政府令第110号发布</w:t>
      </w:r>
      <w:r>
        <w:rPr>
          <w:rFonts w:hint="default" w:ascii="Times New Roman" w:hAnsi="Times New Roman" w:eastAsia="仿宋_GB2312" w:cs="Times New Roman"/>
          <w:color w:val="auto"/>
          <w:szCs w:val="36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auto"/>
          <w:highlight w:val="none"/>
        </w:rPr>
        <w:t>根据2012年1月20日市人民政府令第145号第一次修正 根据2023年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7</w:t>
      </w:r>
      <w:r>
        <w:rPr>
          <w:rFonts w:hint="default" w:ascii="Times New Roman" w:hAnsi="Times New Roman" w:cs="Times New Roman"/>
          <w:color w:val="auto"/>
          <w:highlight w:val="none"/>
        </w:rPr>
        <w:t>月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2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highlight w:val="none"/>
        </w:rPr>
        <w:t>日市人民政府令第172号第二次修正）</w:t>
      </w:r>
    </w:p>
    <w:p>
      <w:pPr>
        <w:spacing w:line="560" w:lineRule="exact"/>
        <w:ind w:firstLine="640" w:firstLineChars="200"/>
        <w:rPr>
          <w:rFonts w:ascii="Times New Roman" w:eastAsia="仿宋_GB2312" w:cs="Times New Roman"/>
          <w:color w:val="auto"/>
          <w:sz w:val="32"/>
          <w:szCs w:val="36"/>
          <w:highlight w:val="none"/>
        </w:rPr>
      </w:pPr>
    </w:p>
    <w:p>
      <w:pPr>
        <w:spacing w:line="560" w:lineRule="exact"/>
        <w:jc w:val="center"/>
        <w:rPr>
          <w:rFonts w:hint="eastAsia" w:ascii="黑体" w:hAnsi="黑体" w:eastAsia="黑体" w:cs="黑体"/>
          <w:bCs/>
          <w:color w:val="auto"/>
          <w:kern w:val="0"/>
          <w:sz w:val="32"/>
          <w:szCs w:val="30"/>
          <w:highlight w:val="none"/>
        </w:rPr>
      </w:pPr>
      <w:r>
        <w:rPr>
          <w:rFonts w:hint="eastAsia" w:ascii="黑体" w:hAnsi="黑体" w:eastAsia="黑体" w:cs="黑体"/>
          <w:bCs/>
          <w:color w:val="auto"/>
          <w:kern w:val="0"/>
          <w:sz w:val="32"/>
          <w:szCs w:val="30"/>
          <w:highlight w:val="none"/>
        </w:rPr>
        <w:t>目  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textAlignment w:val="auto"/>
        <w:rPr>
          <w:rFonts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第一章　总则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textAlignment w:val="auto"/>
        <w:rPr>
          <w:rFonts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第二章　规划和建设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textAlignment w:val="auto"/>
        <w:rPr>
          <w:rFonts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第三章　维护和管理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textAlignment w:val="auto"/>
        <w:rPr>
          <w:rFonts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第四章　法律责任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textAlignment w:val="auto"/>
        <w:rPr>
          <w:rFonts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第五章　附则</w:t>
      </w:r>
    </w:p>
    <w:p>
      <w:pPr>
        <w:spacing w:line="560" w:lineRule="exact"/>
        <w:ind w:firstLine="640" w:firstLineChars="200"/>
        <w:rPr>
          <w:rFonts w:ascii="Times New Roman" w:eastAsia="仿宋_GB2312" w:cs="Times New Roman"/>
          <w:color w:val="auto"/>
          <w:sz w:val="32"/>
          <w:szCs w:val="36"/>
          <w:highlight w:val="none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textAlignment w:val="auto"/>
        <w:rPr>
          <w:rFonts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第一章　总则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0"/>
          <w:highlight w:val="none"/>
        </w:rPr>
      </w:pPr>
      <w:r>
        <w:rPr>
          <w:rFonts w:hint="eastAsia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第一条</w:t>
      </w:r>
      <w:r>
        <w:rPr>
          <w:rFonts w:hint="default" w:ascii="Times New Roman" w:eastAsia="仿宋_GB2312" w:cs="Times New Roman"/>
          <w:color w:val="auto"/>
          <w:sz w:val="32"/>
          <w:szCs w:val="30"/>
          <w:highlight w:val="none"/>
        </w:rPr>
        <w:t>　为加强城市照明设施管理，保证城市照明设施完好，根据有关法律、法规的规定，结合本市实际，制定本办法。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hint="default" w:ascii="Times New Roman" w:eastAsia="仿宋_GB2312" w:cs="Times New Roman"/>
          <w:color w:val="auto"/>
          <w:sz w:val="32"/>
          <w:szCs w:val="30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第二条</w:t>
      </w:r>
      <w:r>
        <w:rPr>
          <w:rFonts w:hint="default" w:ascii="Times New Roman" w:eastAsia="仿宋_GB2312" w:cs="Times New Roman"/>
          <w:bCs/>
          <w:color w:val="auto"/>
          <w:sz w:val="32"/>
          <w:szCs w:val="30"/>
          <w:highlight w:val="none"/>
        </w:rPr>
        <w:t>　</w:t>
      </w:r>
      <w:r>
        <w:rPr>
          <w:rFonts w:hint="default" w:ascii="Times New Roman" w:eastAsia="仿宋_GB2312" w:cs="Times New Roman"/>
          <w:color w:val="auto"/>
          <w:sz w:val="32"/>
          <w:szCs w:val="30"/>
          <w:highlight w:val="none"/>
        </w:rPr>
        <w:t>市城市规划区内城市照明设施的规划、建设、维护和管理，适用本办法。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第三条</w:t>
      </w:r>
      <w:r>
        <w:rPr>
          <w:rFonts w:hint="default" w:ascii="Times New Roman" w:eastAsia="仿宋_GB2312" w:cs="Times New Roman"/>
          <w:bCs/>
          <w:color w:val="auto"/>
          <w:sz w:val="32"/>
          <w:szCs w:val="32"/>
          <w:highlight w:val="none"/>
        </w:rPr>
        <w:t>　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本办法所称城市照明设施，是指城市道路、桥涵、街巷、</w:t>
      </w:r>
      <w:r>
        <w:rPr>
          <w:rFonts w:hint="default" w:ascii="Times New Roman" w:eastAsia="仿宋_GB2312" w:cs="Times New Roman"/>
          <w:color w:val="auto"/>
          <w:sz w:val="32"/>
          <w:szCs w:val="21"/>
          <w:highlight w:val="none"/>
        </w:rPr>
        <w:t>住宅小区、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不收费的公共绿地等处的</w:t>
      </w:r>
      <w:r>
        <w:rPr>
          <w:rFonts w:hint="default" w:ascii="Times New Roman" w:eastAsia="仿宋_GB2312" w:cs="Times New Roman"/>
          <w:color w:val="auto"/>
          <w:sz w:val="32"/>
          <w:szCs w:val="20"/>
          <w:highlight w:val="none"/>
        </w:rPr>
        <w:t>路灯配电室、变压器、配电箱、灯杆、地上地下管线、灯具、工作井以及照明附属设备等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第四条</w:t>
      </w:r>
      <w:r>
        <w:rPr>
          <w:rFonts w:hint="default" w:ascii="Times New Roman" w:eastAsia="仿宋_GB2312" w:cs="Times New Roman"/>
          <w:bCs/>
          <w:color w:val="auto"/>
          <w:sz w:val="32"/>
          <w:szCs w:val="32"/>
          <w:highlight w:val="none"/>
        </w:rPr>
        <w:t>　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市城市管理主管部门负责全市城市照明设施管理工作，其所属的城市照明设施管理机构负责具体工作。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有关行政管理部门应当按照各自职责，做好城市照明设施管理工作。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第五条</w:t>
      </w:r>
      <w:r>
        <w:rPr>
          <w:rFonts w:hint="default" w:ascii="Times New Roman" w:eastAsia="仿宋_GB2312" w:cs="Times New Roman"/>
          <w:bCs/>
          <w:color w:val="auto"/>
          <w:sz w:val="32"/>
          <w:szCs w:val="32"/>
          <w:highlight w:val="none"/>
        </w:rPr>
        <w:t>　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城市照明设施的建设和管理</w:t>
      </w:r>
      <w:r>
        <w:rPr>
          <w:rFonts w:hint="default" w:ascii="Times New Roman" w:eastAsia="仿宋_GB2312" w:cs="Times New Roman"/>
          <w:color w:val="auto"/>
          <w:sz w:val="32"/>
          <w:szCs w:val="21"/>
          <w:highlight w:val="none"/>
        </w:rPr>
        <w:t>应当遵循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统一规划、配套建设、协调发展的原则和建设、维护、管理并重的原则。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bCs/>
          <w:color w:val="auto"/>
          <w:sz w:val="32"/>
          <w:szCs w:val="32"/>
          <w:highlight w:val="none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textAlignment w:val="auto"/>
        <w:rPr>
          <w:rFonts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第二章　规划和建设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bCs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第六条</w:t>
      </w:r>
      <w:r>
        <w:rPr>
          <w:rFonts w:hint="default" w:ascii="Times New Roman" w:eastAsia="仿宋_GB2312" w:cs="Times New Roman"/>
          <w:bCs/>
          <w:color w:val="auto"/>
          <w:sz w:val="32"/>
          <w:szCs w:val="32"/>
          <w:highlight w:val="none"/>
        </w:rPr>
        <w:t>　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市城市管理主管部门应当根据城市总体规划，</w:t>
      </w:r>
      <w:r>
        <w:rPr>
          <w:rFonts w:eastAsia="仿宋_GB2312" w:cs="Times New Roman"/>
          <w:color w:val="auto"/>
          <w:sz w:val="32"/>
          <w:szCs w:val="21"/>
          <w:highlight w:val="none"/>
        </w:rPr>
        <w:t>编制城市照明</w:t>
      </w:r>
      <w:r>
        <w:rPr>
          <w:rFonts w:hint="default" w:eastAsia="仿宋_GB2312" w:cs="Times New Roman"/>
          <w:color w:val="auto"/>
          <w:sz w:val="32"/>
          <w:szCs w:val="21"/>
          <w:highlight w:val="none"/>
        </w:rPr>
        <w:t>设施发展</w:t>
      </w:r>
      <w:r>
        <w:rPr>
          <w:rFonts w:eastAsia="仿宋_GB2312" w:cs="Times New Roman"/>
          <w:color w:val="auto"/>
          <w:sz w:val="32"/>
          <w:szCs w:val="21"/>
          <w:highlight w:val="none"/>
        </w:rPr>
        <w:t>规划，</w:t>
      </w:r>
      <w:r>
        <w:rPr>
          <w:rFonts w:hint="default" w:eastAsia="仿宋_GB2312" w:cs="Times New Roman"/>
          <w:color w:val="auto"/>
          <w:sz w:val="32"/>
          <w:szCs w:val="21"/>
          <w:highlight w:val="none"/>
        </w:rPr>
        <w:t>经市规划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行政管理部门综合协调、审核，</w:t>
      </w:r>
      <w:r>
        <w:rPr>
          <w:rFonts w:hint="default" w:ascii="Times New Roman" w:eastAsia="仿宋_GB2312" w:cs="Times New Roman"/>
          <w:color w:val="auto"/>
          <w:sz w:val="32"/>
          <w:szCs w:val="21"/>
          <w:highlight w:val="none"/>
        </w:rPr>
        <w:t>报市人民政府批准后实施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eastAsia="仿宋_GB2312" w:cs="Times New Roman"/>
          <w:color w:val="auto"/>
          <w:sz w:val="32"/>
          <w:szCs w:val="21"/>
          <w:highlight w:val="none"/>
        </w:rPr>
        <w:t>编制城市照明</w:t>
      </w:r>
      <w:r>
        <w:rPr>
          <w:rFonts w:hint="default" w:eastAsia="仿宋_GB2312" w:cs="Times New Roman"/>
          <w:color w:val="auto"/>
          <w:sz w:val="32"/>
          <w:szCs w:val="21"/>
          <w:highlight w:val="none"/>
        </w:rPr>
        <w:t>设施发展</w:t>
      </w:r>
      <w:r>
        <w:rPr>
          <w:rFonts w:eastAsia="仿宋_GB2312" w:cs="Times New Roman"/>
          <w:color w:val="auto"/>
          <w:sz w:val="32"/>
          <w:szCs w:val="21"/>
          <w:highlight w:val="none"/>
        </w:rPr>
        <w:t>规划</w:t>
      </w:r>
      <w:r>
        <w:rPr>
          <w:rFonts w:hint="default" w:eastAsia="仿宋_GB2312" w:cs="Times New Roman"/>
          <w:color w:val="auto"/>
          <w:sz w:val="32"/>
          <w:szCs w:val="21"/>
          <w:highlight w:val="none"/>
        </w:rPr>
        <w:t>应当坚持以人为本、突出重点、保证功能、节约能源、环境友好的原则，明确不同地点的照明等级、标准等。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第七条</w:t>
      </w:r>
      <w:r>
        <w:rPr>
          <w:rFonts w:hint="default" w:ascii="Times New Roman" w:eastAsia="仿宋_GB2312" w:cs="Times New Roman"/>
          <w:bCs/>
          <w:color w:val="auto"/>
          <w:sz w:val="32"/>
          <w:szCs w:val="32"/>
          <w:highlight w:val="none"/>
        </w:rPr>
        <w:t>　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城市照明设施的建设资金可以由政府投资，也可以采取其他方式筹措。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  <w:t>鼓励</w:t>
      </w:r>
      <w:r>
        <w:rPr>
          <w:rFonts w:hint="default" w:ascii="Times New Roman" w:hAnsi="Times New Roman" w:eastAsia="仿宋_GB2312" w:cs="Times New Roman"/>
          <w:color w:val="auto"/>
          <w:sz w:val="32"/>
          <w:szCs w:val="21"/>
          <w:highlight w:val="none"/>
        </w:rPr>
        <w:t>国（境）内外投资者采取独资、合资、合作等形式</w:t>
      </w:r>
      <w:r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  <w:t>参与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城市照明</w:t>
      </w:r>
      <w:r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  <w:t>设施建设</w:t>
      </w:r>
      <w:r>
        <w:rPr>
          <w:rFonts w:hint="default" w:ascii="Times New Roman" w:eastAsia="仿宋_GB2312" w:cs="Times New Roman"/>
          <w:color w:val="auto"/>
          <w:sz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第八条</w:t>
      </w:r>
      <w:r>
        <w:rPr>
          <w:rFonts w:hint="default" w:ascii="Times New Roman" w:eastAsia="仿宋_GB2312" w:cs="Times New Roman"/>
          <w:bCs/>
          <w:color w:val="auto"/>
          <w:sz w:val="32"/>
          <w:highlight w:val="none"/>
        </w:rPr>
        <w:t>　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城市照明设施</w:t>
      </w:r>
      <w:r>
        <w:rPr>
          <w:rFonts w:hint="default" w:ascii="Times New Roman" w:eastAsia="仿宋_GB2312" w:cs="Times New Roman"/>
          <w:color w:val="auto"/>
          <w:sz w:val="32"/>
          <w:highlight w:val="none"/>
        </w:rPr>
        <w:t>建设应当符合城市照明设施发展规划和城市照明设施有关技术标准。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highlight w:val="none"/>
        </w:rPr>
      </w:pPr>
      <w:r>
        <w:rPr>
          <w:rFonts w:hint="default" w:ascii="Times New Roman" w:eastAsia="仿宋_GB2312" w:cs="Times New Roman"/>
          <w:color w:val="auto"/>
          <w:sz w:val="32"/>
          <w:highlight w:val="none"/>
        </w:rPr>
        <w:t>现有的城市照明设施与城市照明设施发展规划不符的，应当按照城市照明设施发展规划进行改造。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第九条</w:t>
      </w:r>
      <w:r>
        <w:rPr>
          <w:rFonts w:hint="default" w:ascii="Times New Roman" w:eastAsia="仿宋_GB2312" w:cs="Times New Roman"/>
          <w:bCs/>
          <w:color w:val="auto"/>
          <w:sz w:val="32"/>
          <w:highlight w:val="none"/>
        </w:rPr>
        <w:t>　</w:t>
      </w:r>
      <w:r>
        <w:rPr>
          <w:rFonts w:hint="default" w:ascii="Times New Roman" w:eastAsia="仿宋_GB2312" w:cs="Times New Roman"/>
          <w:color w:val="auto"/>
          <w:sz w:val="32"/>
          <w:szCs w:val="21"/>
          <w:highlight w:val="none"/>
        </w:rPr>
        <w:t>新建、改建、扩建</w:t>
      </w:r>
      <w:r>
        <w:rPr>
          <w:rFonts w:hint="default" w:ascii="Times New Roman" w:eastAsia="仿宋_GB2312" w:cs="Times New Roman"/>
          <w:color w:val="auto"/>
          <w:sz w:val="32"/>
          <w:highlight w:val="none"/>
        </w:rPr>
        <w:t>城市照明设施建设工程，应当依法向规划行政管理部门办理规划许可手续。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highlight w:val="none"/>
        </w:rPr>
      </w:pPr>
      <w:r>
        <w:rPr>
          <w:rFonts w:hint="default" w:ascii="Times New Roman" w:eastAsia="仿宋_GB2312" w:cs="Times New Roman"/>
          <w:color w:val="auto"/>
          <w:sz w:val="32"/>
          <w:highlight w:val="none"/>
        </w:rPr>
        <w:t>涉及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城市照明设施的</w:t>
      </w:r>
      <w:r>
        <w:rPr>
          <w:rFonts w:hint="default" w:ascii="Times New Roman" w:eastAsia="仿宋_GB2312" w:cs="Times New Roman"/>
          <w:color w:val="auto"/>
          <w:sz w:val="32"/>
          <w:highlight w:val="none"/>
        </w:rPr>
        <w:t>建设工程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eastAsia="仿宋_GB2312" w:cs="Times New Roman"/>
          <w:color w:val="auto"/>
          <w:sz w:val="32"/>
          <w:highlight w:val="none"/>
        </w:rPr>
        <w:t>规划行政管理部门在办理规划许可手续时，应当征求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市城市管理主管部门</w:t>
      </w:r>
      <w:r>
        <w:rPr>
          <w:rFonts w:hint="default" w:ascii="Times New Roman" w:eastAsia="仿宋_GB2312" w:cs="Times New Roman"/>
          <w:color w:val="auto"/>
          <w:sz w:val="32"/>
          <w:highlight w:val="none"/>
        </w:rPr>
        <w:t>的意见。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21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第十条</w:t>
      </w:r>
      <w:r>
        <w:rPr>
          <w:rFonts w:hint="default" w:ascii="Times New Roman" w:eastAsia="仿宋_GB2312" w:cs="Times New Roman"/>
          <w:bCs/>
          <w:color w:val="auto"/>
          <w:sz w:val="32"/>
          <w:highlight w:val="none"/>
        </w:rPr>
        <w:t>　</w:t>
      </w:r>
      <w:r>
        <w:rPr>
          <w:rFonts w:hint="default" w:ascii="Times New Roman" w:eastAsia="仿宋_GB2312" w:cs="Times New Roman"/>
          <w:color w:val="auto"/>
          <w:sz w:val="32"/>
          <w:szCs w:val="21"/>
          <w:highlight w:val="none"/>
        </w:rPr>
        <w:t>新建、改建、扩建城市道路、桥涵、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街巷、</w:t>
      </w:r>
      <w:r>
        <w:rPr>
          <w:rFonts w:hint="default" w:ascii="Times New Roman" w:eastAsia="仿宋_GB2312" w:cs="Times New Roman"/>
          <w:color w:val="auto"/>
          <w:sz w:val="32"/>
          <w:szCs w:val="21"/>
          <w:highlight w:val="none"/>
        </w:rPr>
        <w:t>住宅小区、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不收费的公共绿地等，应当</w:t>
      </w:r>
      <w:r>
        <w:rPr>
          <w:rFonts w:hint="default" w:ascii="Times New Roman" w:eastAsia="仿宋_GB2312" w:cs="Times New Roman"/>
          <w:color w:val="auto"/>
          <w:sz w:val="32"/>
          <w:highlight w:val="none"/>
        </w:rPr>
        <w:t>按照城市照明设施发展规划配套建设城市照明设施，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并</w:t>
      </w:r>
      <w:r>
        <w:rPr>
          <w:rFonts w:hint="default" w:ascii="Times New Roman" w:eastAsia="仿宋_GB2312" w:cs="Times New Roman"/>
          <w:color w:val="auto"/>
          <w:sz w:val="32"/>
          <w:szCs w:val="21"/>
          <w:highlight w:val="none"/>
        </w:rPr>
        <w:t>与主体工程同时设计、同时施工、同时交付使用。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第十一条</w:t>
      </w:r>
      <w:r>
        <w:rPr>
          <w:rFonts w:hint="default" w:ascii="Times New Roman" w:eastAsia="仿宋_GB2312" w:cs="Times New Roman"/>
          <w:bCs/>
          <w:color w:val="auto"/>
          <w:sz w:val="32"/>
          <w:highlight w:val="none"/>
        </w:rPr>
        <w:t>　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城市</w:t>
      </w:r>
      <w:r>
        <w:rPr>
          <w:rFonts w:hint="default" w:ascii="Times New Roman" w:eastAsia="仿宋_GB2312" w:cs="Times New Roman"/>
          <w:color w:val="auto"/>
          <w:sz w:val="32"/>
          <w:szCs w:val="21"/>
          <w:highlight w:val="none"/>
        </w:rPr>
        <w:t>道路两侧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符合条件的电力杆等设施，在不影响其功能的前提下应当同时作为灯杆予以利用。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bCs/>
          <w:color w:val="auto"/>
          <w:sz w:val="32"/>
          <w:szCs w:val="36"/>
          <w:highlight w:val="none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textAlignment w:val="auto"/>
        <w:rPr>
          <w:rFonts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第三章　维护和管理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bCs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第十二条</w:t>
      </w:r>
      <w:r>
        <w:rPr>
          <w:rFonts w:hint="default" w:ascii="Times New Roman" w:eastAsia="仿宋_GB2312" w:cs="Times New Roman"/>
          <w:bCs/>
          <w:color w:val="auto"/>
          <w:sz w:val="32"/>
          <w:szCs w:val="32"/>
          <w:highlight w:val="none"/>
        </w:rPr>
        <w:t>　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区人民</w:t>
      </w:r>
      <w:r>
        <w:rPr>
          <w:rFonts w:hint="default" w:ascii="Times New Roman" w:eastAsia="仿宋_GB2312" w:cs="Times New Roman"/>
          <w:color w:val="auto"/>
          <w:sz w:val="32"/>
          <w:szCs w:val="21"/>
          <w:highlight w:val="none"/>
        </w:rPr>
        <w:t>政府组织建设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的城市照明设施应当移交市城市管理主管部门管理。</w:t>
      </w:r>
      <w:r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  <w:t>单位投资建设和管理的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城市照明设施</w:t>
      </w:r>
      <w:r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  <w:t>，由投资建设的单位负责养护、维修</w:t>
      </w:r>
      <w:r>
        <w:rPr>
          <w:rFonts w:hint="default" w:ascii="Times New Roman" w:hAnsi="Times New Roman" w:eastAsia="仿宋_GB2312" w:cs="Times New Roman"/>
          <w:color w:val="auto"/>
          <w:sz w:val="32"/>
          <w:szCs w:val="21"/>
          <w:highlight w:val="none"/>
        </w:rPr>
        <w:t>，或者移交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市城市管理主管部门管理</w:t>
      </w:r>
      <w:r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  <w:t>。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实行物业管理的</w:t>
      </w:r>
      <w:r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  <w:t>住宅小区的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城市照明设施</w:t>
      </w:r>
      <w:r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  <w:t>，由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物业</w:t>
      </w:r>
      <w:r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  <w:t>管理</w:t>
      </w:r>
      <w:r>
        <w:rPr>
          <w:rFonts w:hint="default" w:ascii="Times New Roman" w:hAnsi="Times New Roman" w:eastAsia="仿宋_GB2312" w:cs="Times New Roman"/>
          <w:color w:val="auto"/>
          <w:sz w:val="32"/>
          <w:szCs w:val="21"/>
          <w:highlight w:val="none"/>
        </w:rPr>
        <w:t>企业</w:t>
      </w:r>
      <w:r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  <w:t>负责养护、维修。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21"/>
          <w:highlight w:val="none"/>
        </w:rPr>
        <w:t>无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物业</w:t>
      </w:r>
      <w:r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  <w:t>管理</w:t>
      </w:r>
      <w:r>
        <w:rPr>
          <w:rFonts w:hint="default" w:ascii="Times New Roman" w:hAnsi="Times New Roman" w:eastAsia="仿宋_GB2312" w:cs="Times New Roman"/>
          <w:color w:val="auto"/>
          <w:sz w:val="32"/>
          <w:szCs w:val="21"/>
          <w:highlight w:val="none"/>
        </w:rPr>
        <w:t>企业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的</w:t>
      </w:r>
      <w:r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  <w:t>住宅小区的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城市照明设施</w:t>
      </w:r>
      <w:r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21"/>
          <w:highlight w:val="none"/>
        </w:rPr>
        <w:t>由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市城市管理主管部门管理</w:t>
      </w:r>
      <w:r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  <w:t>。开发区的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城市照明设施</w:t>
      </w:r>
      <w:r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21"/>
          <w:highlight w:val="none"/>
        </w:rPr>
        <w:t>由</w:t>
      </w:r>
      <w:r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  <w:t>开发区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21"/>
          <w:highlight w:val="none"/>
        </w:rPr>
        <w:t>管理单位</w:t>
      </w:r>
      <w:r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  <w:t>负责养护、维修</w:t>
      </w:r>
      <w:r>
        <w:rPr>
          <w:rFonts w:hint="default" w:ascii="Times New Roman" w:hAnsi="Times New Roman" w:eastAsia="仿宋_GB2312" w:cs="Times New Roman"/>
          <w:color w:val="auto"/>
          <w:sz w:val="32"/>
          <w:szCs w:val="21"/>
          <w:highlight w:val="none"/>
        </w:rPr>
        <w:t>，或者移交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市城市管理主管部门管理</w:t>
      </w:r>
      <w:r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市</w:t>
      </w:r>
      <w:r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  <w:t>城市管理主管部门组织建设和管理的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城市照明设施</w:t>
      </w:r>
      <w:r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  <w:t>，由其委托的单位负责养护、维修。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第十三条　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移交城市照明设施，应当具备以下条件：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（一）符合城市照明设施的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安装及施工质量标准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（二）提供施工图纸、竣工图纸、竣工验收报告和其他必要的资料；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（三）提供必要的维修、运行条件。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需移交城市照明设施的，建设单位应当向市城市管理主管部门提出申请。市城市管理主管部门接到申请后，应当及时验收，符合条件的，予以接收；不符合条件的，提出整改意见。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第十四条</w:t>
      </w:r>
      <w:r>
        <w:rPr>
          <w:rFonts w:hint="default" w:ascii="Times New Roman" w:eastAsia="仿宋_GB2312" w:cs="Times New Roman"/>
          <w:bCs/>
          <w:color w:val="auto"/>
          <w:sz w:val="32"/>
          <w:szCs w:val="32"/>
          <w:highlight w:val="none"/>
        </w:rPr>
        <w:t>　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城市照明设施维护管理单位应当建立巡查制度，加强对城市照明设施的检查和维护，保证城市照明设施完好、安全和运行正常。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21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第十五条　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任何单位和个人都应当爱护城市照明设施。禁止下列行为：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（一）偷盗、损坏或者擅自拆除、迁移、改动城市照明设施；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（二）擅自接用城市照明电源；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（三）在城市照明设施旁边堆放物料、挖坑取土、非法搭建建筑物和构筑物；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（四）擅自在城市照明设施上设置广告牌、架设管线等其他设施；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（五）在城市照明设施上乱贴、乱画、乱写、乱刻；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（六）其他损害、侵占城市照明设施的行为。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21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第十六条</w:t>
      </w:r>
      <w:r>
        <w:rPr>
          <w:rFonts w:hint="default" w:ascii="Times New Roman" w:eastAsia="仿宋_GB2312" w:cs="Times New Roman"/>
          <w:bCs/>
          <w:color w:val="auto"/>
          <w:sz w:val="32"/>
          <w:szCs w:val="32"/>
          <w:highlight w:val="none"/>
        </w:rPr>
        <w:t>　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确需拆除、迁移、改动城市照明设施的，应当向市城市管理主管部门提出申请，市城市管理主管部门应当在受理申请之日起7个工作日内作出批准或者不批准的书面答复。逾期不作出书面答复的，视为批准。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拆除、迁移、改动城市照明设施由专业单位负责施工，费用由申请人承担。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施工可能影响城市照明设施安全运行的，应当采取安全保护措施。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第十七条</w:t>
      </w:r>
      <w:r>
        <w:rPr>
          <w:rFonts w:hint="default" w:ascii="Times New Roman" w:eastAsia="仿宋_GB2312" w:cs="Times New Roman"/>
          <w:bCs/>
          <w:color w:val="auto"/>
          <w:sz w:val="32"/>
          <w:szCs w:val="32"/>
          <w:highlight w:val="none"/>
        </w:rPr>
        <w:t>　</w:t>
      </w:r>
      <w:r>
        <w:rPr>
          <w:rFonts w:hint="default" w:ascii="Times New Roman" w:eastAsia="仿宋_GB2312" w:cs="Times New Roman"/>
          <w:color w:val="auto"/>
          <w:sz w:val="32"/>
          <w:highlight w:val="none"/>
        </w:rPr>
        <w:t>确需利用城市照明设施张贴、悬挂、设置宣传品，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或者设置广告牌、架设管线等其他设施的，应当经产权单位同意，依法办理相关手续，并不得影响城市照明设施的安全和正常使用。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第十八条</w:t>
      </w:r>
      <w:r>
        <w:rPr>
          <w:rFonts w:hint="default" w:ascii="Times New Roman" w:eastAsia="仿宋_GB2312" w:cs="Times New Roman"/>
          <w:bCs/>
          <w:color w:val="auto"/>
          <w:sz w:val="32"/>
          <w:szCs w:val="32"/>
          <w:highlight w:val="none"/>
        </w:rPr>
        <w:t>　城市照明设施应当与树木保持安全距离。树木因生长而不符合安全距离的，城市管理主管部门应当及时处理。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第十九条</w:t>
      </w:r>
      <w:r>
        <w:rPr>
          <w:rFonts w:hint="default" w:ascii="Times New Roman" w:eastAsia="仿宋_GB2312" w:cs="Times New Roman"/>
          <w:bCs/>
          <w:color w:val="auto"/>
          <w:sz w:val="32"/>
          <w:szCs w:val="32"/>
          <w:highlight w:val="none"/>
        </w:rPr>
        <w:t>　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任何单位和个人发现城市照明设施存在安全隐患、运行不正常、遭到破坏，或者</w:t>
      </w:r>
      <w:r>
        <w:rPr>
          <w:rFonts w:hint="default" w:ascii="Times New Roman" w:eastAsia="仿宋_GB2312" w:cs="Times New Roman"/>
          <w:color w:val="auto"/>
          <w:sz w:val="32"/>
          <w:szCs w:val="21"/>
          <w:highlight w:val="none"/>
        </w:rPr>
        <w:t>损害、侵占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城市照明设施的行为，有权向</w:t>
      </w:r>
      <w:r>
        <w:rPr>
          <w:rFonts w:hint="default" w:ascii="Times New Roman" w:eastAsia="仿宋_GB2312" w:cs="Times New Roman"/>
          <w:color w:val="auto"/>
          <w:sz w:val="32"/>
          <w:szCs w:val="21"/>
          <w:highlight w:val="none"/>
        </w:rPr>
        <w:t>城市管理主管部门举报，有关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部门接到</w:t>
      </w:r>
      <w:r>
        <w:rPr>
          <w:rFonts w:hint="default" w:ascii="Times New Roman" w:eastAsia="仿宋_GB2312" w:cs="Times New Roman"/>
          <w:color w:val="auto"/>
          <w:sz w:val="32"/>
          <w:szCs w:val="21"/>
          <w:highlight w:val="none"/>
        </w:rPr>
        <w:t>举报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后，应当及时处理</w:t>
      </w:r>
      <w:r>
        <w:rPr>
          <w:rFonts w:hint="default" w:ascii="Times New Roman" w:eastAsia="仿宋_GB2312" w:cs="Times New Roman"/>
          <w:color w:val="auto"/>
          <w:sz w:val="32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bCs/>
          <w:color w:val="auto"/>
          <w:sz w:val="32"/>
          <w:szCs w:val="32"/>
          <w:highlight w:val="none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textAlignment w:val="auto"/>
        <w:rPr>
          <w:rFonts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第四章　法律责任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bCs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第二十条</w:t>
      </w:r>
      <w:r>
        <w:rPr>
          <w:rFonts w:hint="default" w:ascii="Times New Roman" w:eastAsia="仿宋_GB2312" w:cs="Times New Roman"/>
          <w:bCs/>
          <w:color w:val="auto"/>
          <w:sz w:val="32"/>
          <w:szCs w:val="32"/>
          <w:highlight w:val="none"/>
        </w:rPr>
        <w:t>　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违反本办法规定，擅自拆除、迁移、改动城市照明设施或者擅自接用城市照明电源的，可以由市</w:t>
      </w:r>
      <w:r>
        <w:rPr>
          <w:rFonts w:hint="default" w:ascii="Times New Roman" w:eastAsia="仿宋_GB2312" w:cs="Times New Roman"/>
          <w:color w:val="auto"/>
          <w:sz w:val="32"/>
          <w:szCs w:val="21"/>
          <w:highlight w:val="none"/>
        </w:rPr>
        <w:t>城市管理主管部门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处1000元以下罚款。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第二十一条</w:t>
      </w:r>
      <w:r>
        <w:rPr>
          <w:rFonts w:hint="default" w:ascii="Times New Roman" w:eastAsia="仿宋_GB2312" w:cs="Times New Roman"/>
          <w:bCs/>
          <w:color w:val="auto"/>
          <w:sz w:val="32"/>
          <w:szCs w:val="32"/>
          <w:highlight w:val="none"/>
        </w:rPr>
        <w:t>　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违反本办法规定，擅自在城市照明设施上设置广告牌、架设管线等其他设施的，由市</w:t>
      </w:r>
      <w:r>
        <w:rPr>
          <w:rFonts w:hint="default" w:ascii="Times New Roman" w:eastAsia="仿宋_GB2312" w:cs="Times New Roman"/>
          <w:color w:val="auto"/>
          <w:sz w:val="32"/>
          <w:szCs w:val="21"/>
          <w:highlight w:val="none"/>
        </w:rPr>
        <w:t>城市管理主管部门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责令限期改正，可以视情节轻重处5000元以上1万元以下罚款。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第二十二条</w:t>
      </w:r>
      <w:r>
        <w:rPr>
          <w:rFonts w:hint="default" w:ascii="Times New Roman" w:eastAsia="仿宋_GB2312" w:cs="Times New Roman"/>
          <w:bCs/>
          <w:color w:val="auto"/>
          <w:sz w:val="32"/>
          <w:szCs w:val="32"/>
          <w:highlight w:val="none"/>
        </w:rPr>
        <w:t>　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违反本办法规定，偷盗、损坏城市照明设施的，由公安机关依法处罚；构成犯罪的，依法追究刑事责任。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第二十三条</w:t>
      </w:r>
      <w:r>
        <w:rPr>
          <w:rFonts w:hint="default" w:ascii="Times New Roman" w:eastAsia="仿宋_GB2312" w:cs="Times New Roman"/>
          <w:bCs/>
          <w:color w:val="auto"/>
          <w:sz w:val="32"/>
          <w:szCs w:val="32"/>
          <w:highlight w:val="none"/>
        </w:rPr>
        <w:t>　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违反本办法规定，造成城市照明设施损坏或者其他损失的，应当依法承担赔偿责任。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第二十四条</w:t>
      </w:r>
      <w:r>
        <w:rPr>
          <w:rFonts w:hint="default" w:ascii="Times New Roman" w:eastAsia="仿宋_GB2312" w:cs="Times New Roman"/>
          <w:bCs/>
          <w:color w:val="auto"/>
          <w:sz w:val="32"/>
          <w:szCs w:val="32"/>
          <w:highlight w:val="none"/>
        </w:rPr>
        <w:t>　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市</w:t>
      </w:r>
      <w:r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  <w:t>城市管理主管部门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21"/>
          <w:highlight w:val="none"/>
        </w:rPr>
        <w:t>及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其所属的城市照明设施管理机构</w:t>
      </w:r>
      <w:r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  <w:t>的工作人员滥用职权、玩忽职守、徇私舞弊的，依法给予行政处分；构成犯罪的，依法追究刑事责任。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bCs/>
          <w:color w:val="auto"/>
          <w:sz w:val="32"/>
          <w:szCs w:val="32"/>
          <w:highlight w:val="none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textAlignment w:val="auto"/>
        <w:rPr>
          <w:rFonts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第五章　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21"/>
          <w:highlight w:val="none"/>
        </w:rPr>
      </w:pPr>
      <w:r>
        <w:rPr>
          <w:rFonts w:hint="eastAsia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第二十五条</w:t>
      </w:r>
      <w:r>
        <w:rPr>
          <w:rFonts w:ascii="Times New Roman" w:hAnsi="Times New Roman" w:eastAsia="仿宋_GB2312" w:cs="Times New Roman"/>
          <w:bCs/>
          <w:color w:val="auto"/>
          <w:sz w:val="32"/>
          <w:szCs w:val="21"/>
          <w:highlight w:val="none"/>
        </w:rPr>
        <w:t>　</w:t>
      </w:r>
      <w:r>
        <w:rPr>
          <w:rFonts w:hint="default" w:ascii="Times New Roman" w:hAnsi="Times New Roman" w:eastAsia="仿宋_GB2312" w:cs="Times New Roman"/>
          <w:color w:val="auto"/>
          <w:sz w:val="32"/>
          <w:szCs w:val="21"/>
          <w:highlight w:val="none"/>
        </w:rPr>
        <w:t>各县的城市照明设施管理参照本办法执行。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第二十六条</w:t>
      </w:r>
      <w:r>
        <w:rPr>
          <w:rFonts w:hint="default" w:ascii="Times New Roman" w:eastAsia="仿宋_GB2312" w:cs="Times New Roman"/>
          <w:bCs/>
          <w:color w:val="auto"/>
          <w:sz w:val="32"/>
          <w:szCs w:val="32"/>
          <w:highlight w:val="none"/>
        </w:rPr>
        <w:t>　</w:t>
      </w:r>
      <w:r>
        <w:rPr>
          <w:rFonts w:hint="default" w:ascii="Times New Roman" w:eastAsia="仿宋_GB2312" w:cs="Times New Roman"/>
          <w:color w:val="auto"/>
          <w:sz w:val="32"/>
          <w:szCs w:val="32"/>
          <w:highlight w:val="none"/>
        </w:rPr>
        <w:t>本办法自2006年3月1日起施行。</w:t>
      </w:r>
    </w:p>
    <w:p>
      <w:pPr>
        <w:pStyle w:val="13"/>
        <w:ind w:firstLine="0" w:firstLineChars="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</w:p>
    <w:p/>
    <w:p>
      <w:pPr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l7XO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KLshmkU/PL92+XHr8vPr2SW5KldmCNq5xAXm7e2QdMM5wGHiXVTep2+4EPgh7jn&#10;q7iiiYSnS7PpbDaGi8M3bICfPV53PsR3wmqSjJx6VK8VlZ22IXahQ0jKZuxGKtVWUBlS5/Tm9Ztx&#10;e+HqAbgyyJFIdI9NVmz2Tc9sb4sziHnbdUZwfCORfMtCfGAerYAHY1jiPZZSWSSxvUVJZf2Xf52n&#10;eFQIXkpqtFZODSaJEvXeoHIAjIPhB2M/GOao7yx6dYIhdLw1ccFHNZilt/ozJmiVcsDFDEemnMbB&#10;vItde2MCuVit2qCj8/JQdRfQd47Frdk5ntIkIYNbHSPEbDVOAnWq9Lqh89oq9VOSWvvPfRv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x5e1zj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>
    <w:pPr>
      <w:pStyle w:val="4"/>
      <w:wordWrap w:val="0"/>
      <w:ind w:left="4788" w:leftChars="2280" w:firstLine="6400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FBgAAAAAAAAAAAAAAAAAAAAAAAFBLAwQKAAAAAACHTuJAAAAAAAAAAAAAAAAABAAAAGRycy9Q&#10;SwMEFAAAAAgAh07iQPOnpdHUAAAABgEAAA8AAABkcnMvZG93bnJldi54bWxNj81OwzAQhO9IvIO1&#10;lbhRO+EvSuNUIhIn4EALdzd246jx2rLdpLw9ywmOM7Oa+bbZXtzEZhPT6FFCsRbADPZejzhI+Ny/&#10;3FbAUlao1eTRSPg2Cbbt9VWjau0X/DDzLg+MSjDVSoLNOdScp94ap9LaB4OUHX10KpOMA9dRLVTu&#10;Jl4K8cidGpEWrAqms6Y/7c5OQvcays6+75dYPqe3Yb6bwvH0JeXNqhAbYNlc8t8x/OITOrTEdPBn&#10;1IlNEuiRTG7xBIzSqrp/AHYgoxTA24b/x29/AFBLAwQUAAAACACHTuJA8DYtKekBAAC1AwAADgAA&#10;AGRycy9lMm9Eb2MueG1srVNNjtMwFN4jcQfLe5qkUspM1HQWUw0bBJWAA7iOnVjyn/w8TXsJLoDE&#10;DlYs2XMbZo7BsxM6MGxmQRbO8/v5nr/Pz+uro9HkIAIoZ1taLUpKhOWuU7Zv6Yf3Ny8uKIHIbMe0&#10;s6KlJwH0avP82Xr0jVi6welOBIIgFprRt3SI0TdFAXwQhsHCeWExKF0wLOI29EUX2IjoRhfLslwV&#10;owudD44LAPRupyCdEcNTAJ2Uiout47dG2DihBqFZREowKA90k08rpeDxrZQgItEtRaYxr9gE7X1a&#10;i82aNX1gflB8PgJ7yhEecTJMWWx6htqyyMhtUP9AGcWDAyfjgjtTTESyIsiiKh9p825gXmQuKDX4&#10;s+jw/2D5m8MuENW1tKbEMoMXfvfp+8+PX+5/fMb17ttXUieRRg8N5l7bXZh34HchMT7KYNIfuZBj&#10;FvZ0FlYcI+HorFfVqn6JHTjGqssyQxYPtT5AfCWcIcloqVY20WYNO7yGiP0w9XdKclt3o7TOV6ct&#10;GVu6xC+hM5xHiXOApvHICWxPCdM9DjqPIUOC06pL5QkIQr+/1oEcWBqPsq4ul4kstvsrLfXeMhim&#10;vByaBseoiG9BK9PSizJ9c7W2CJIkm0RK1t51p6xd9uNt5jbz5KVx+XOfqx9e2+Y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86el0dQAAAAGAQAADwAAAAAAAAABACAAAAA4AAAAZHJzL2Rvd25yZXYu&#10;eG1sUEsBAhQAFAAAAAgAh07iQPA2LSnpAQAAtQMAAA4AAAAAAAAAAQAgAAAAOQEAAGRycy9lMm9E&#10;b2MueG1sUEsFBgAAAAAGAAYAWQEAAJQ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  <w:lang w:val="en-US" w:eastAsia="zh-CN"/>
      </w:rPr>
      <w:t>X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 南昌市人民政府发布     </w:t>
    </w:r>
  </w:p>
  <w:p>
    <w:pPr>
      <w:pStyle w:val="4"/>
      <w:wordWrap w:val="0"/>
      <w:ind w:left="4788" w:leftChars="2280" w:firstLine="5621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FBgAAAAAAAAAAAAAAAAAAAAAAAFBLAwQKAAAAAACHTuJAAAAAAAAAAAAAAAAABAAAAGRycy9Q&#10;SwMEFAAAAAgAh07iQNRHQNbVAAAACQEAAA8AAABkcnMvZG93bnJldi54bWxNj8FOwzAQRO9I/IO1&#10;SNxauwFKFOJUIhIn4EALdzd246jx2rLdpPw9i4REjzszmn1Tb85uZJOJafAoYbUUwAx2Xg/YS/jc&#10;vSxKYCkr1Gr0aCR8mwSb5vqqVpX2M36YaZt7RiWYKiXB5hwqzlNnjVNp6YNB8g4+OpXpjD3XUc1U&#10;7kZeCLHmTg1IH6wKprWmO25PTkL7GorWvu/mWDynt366G8Ph+CXl7c1KPAHL5pz/w/CLT+jQENPe&#10;n1AnNkpYrClIsigfgZFflvcPwPZ/Cm9qfrmg+QFQSwMEFAAAAAgAh07iQAXuux7yAQAAvQMAAA4A&#10;AABkcnMvZTJvRG9jLnhtbK1TTY7TMBTeI3EHy3uaNNOWEjWdxVTDBkEl4ACuYyeW/Cc/T9Neggsg&#10;sYMVS/bchuEYPDthBobNLMjCefZ7/p6/z583lyejyVEEUM42dD4rKRGWu1bZrqHv310/W1MCkdmW&#10;aWdFQ88C6OX26ZPN4GtRud7pVgSCIBbqwTe0j9HXRQG8F4bBzHlhMSldMCziNHRFG9iA6EYXVVmu&#10;isGF1gfHBQCu7sYknRDDYwCdlIqLneM3Rtg4ogahWURK0CsPdJtPK6Xg8Y2UICLRDUWmMY/YBOND&#10;GovthtVdYL5XfDoCe8wRHnAyTFlsege1Y5GRm6D+gTKKBwdOxhl3phiJZEWQxbx8oM3bnnmRuaDU&#10;4O9Eh/8Hy18f94GotqELSiwzeOG3H7/9+PD55/dPON5+/UIWSaTBQ421V3Yfphn4fUiMTzKY9Ecu&#10;5IQw84uL9RLlPTd0vVqsn08ai1MkHPPLVVViASUcC3KuuMfwAeJL4QxJQUO1sok+q9nxFUTsi6W/&#10;S9KydddK63yF2pKhoRV+CZqhLyX6AUPjkRvYjhKmOzQ8jyFDgtOqTdsTEITucKUDObJkk3I5f1El&#10;0tjur7LUe8egH+tyajSQURHfhFYGOZfpm3ZriyBJulGsFB1ce84a5nW81dxmcmCyzZ/zvPv+1W1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BYAAABkcnMvUEsBAhQAFAAAAAgAh07iQNRHQNbVAAAACQEAAA8AAAAAAAAAAQAgAAAAOAAAAGRy&#10;cy9kb3ducmV2LnhtbFBLAQIUABQAAAAIAIdO4kAF7rse8gEAAL0DAAAOAAAAAAAAAAEAIAAAADoB&#10;AABkcnMvZTJvRG9jLnhtbFBLBQYAAAAABgAGAFkBAACeBQAAAAA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南昌市人民政府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  <w:t>规章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E71BD"/>
    <w:rsid w:val="01DC3E46"/>
    <w:rsid w:val="04B679C3"/>
    <w:rsid w:val="080F63D8"/>
    <w:rsid w:val="09341458"/>
    <w:rsid w:val="0B0912D7"/>
    <w:rsid w:val="152D2DCA"/>
    <w:rsid w:val="15DD2016"/>
    <w:rsid w:val="1DEC284C"/>
    <w:rsid w:val="1E6523AC"/>
    <w:rsid w:val="21893052"/>
    <w:rsid w:val="22440422"/>
    <w:rsid w:val="31A15F24"/>
    <w:rsid w:val="32A95302"/>
    <w:rsid w:val="395347B5"/>
    <w:rsid w:val="39A232A0"/>
    <w:rsid w:val="39E745AA"/>
    <w:rsid w:val="3B5A6BBB"/>
    <w:rsid w:val="3EDA13A6"/>
    <w:rsid w:val="42366486"/>
    <w:rsid w:val="42F058B7"/>
    <w:rsid w:val="436109F6"/>
    <w:rsid w:val="441A38D4"/>
    <w:rsid w:val="48546FE8"/>
    <w:rsid w:val="4894280E"/>
    <w:rsid w:val="4BC77339"/>
    <w:rsid w:val="4C9236C5"/>
    <w:rsid w:val="505C172E"/>
    <w:rsid w:val="52F46F0B"/>
    <w:rsid w:val="53D8014D"/>
    <w:rsid w:val="55E064E0"/>
    <w:rsid w:val="572C6D10"/>
    <w:rsid w:val="5DC34279"/>
    <w:rsid w:val="608816D1"/>
    <w:rsid w:val="60EF4E7F"/>
    <w:rsid w:val="665233C1"/>
    <w:rsid w:val="6804655B"/>
    <w:rsid w:val="6AD9688B"/>
    <w:rsid w:val="6D0E3F22"/>
    <w:rsid w:val="73847F34"/>
    <w:rsid w:val="75262C83"/>
    <w:rsid w:val="773EF62A"/>
    <w:rsid w:val="7AF91AC4"/>
    <w:rsid w:val="7B191EC6"/>
    <w:rsid w:val="7C9011D9"/>
    <w:rsid w:val="7DC651C5"/>
    <w:rsid w:val="7FCC2834"/>
    <w:rsid w:val="9BDFAA68"/>
    <w:rsid w:val="B7EFFB3A"/>
    <w:rsid w:val="BE6D39D9"/>
    <w:rsid w:val="E7FC44C1"/>
    <w:rsid w:val="EDF623F5"/>
    <w:rsid w:val="F7562459"/>
    <w:rsid w:val="F91AF320"/>
    <w:rsid w:val="FF666E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1级标题"/>
    <w:basedOn w:val="1"/>
    <w:qFormat/>
    <w:uiPriority w:val="0"/>
    <w:pPr>
      <w:spacing w:line="560" w:lineRule="exact"/>
      <w:jc w:val="center"/>
      <w:outlineLvl w:val="0"/>
    </w:pPr>
    <w:rPr>
      <w:rFonts w:ascii="黑体" w:hAnsi="Calibri" w:eastAsia="宋体" w:cs="Times New Roman"/>
      <w:bCs/>
      <w:sz w:val="44"/>
      <w:szCs w:val="44"/>
    </w:rPr>
  </w:style>
  <w:style w:type="paragraph" w:customStyle="1" w:styleId="8">
    <w:name w:val="2-备注"/>
    <w:basedOn w:val="1"/>
    <w:qFormat/>
    <w:uiPriority w:val="0"/>
    <w:pPr>
      <w:spacing w:line="560" w:lineRule="exact"/>
      <w:ind w:left="630" w:leftChars="300" w:right="630" w:rightChars="300"/>
      <w:jc w:val="center"/>
    </w:pPr>
    <w:rPr>
      <w:rFonts w:ascii="楷体_GB2312" w:hAnsi="仿宋_GB2312" w:eastAsia="楷体_GB2312" w:cs="仿宋_GB2312"/>
      <w:sz w:val="32"/>
      <w:szCs w:val="32"/>
    </w:rPr>
  </w:style>
  <w:style w:type="paragraph" w:customStyle="1" w:styleId="9">
    <w:name w:val="8-目录"/>
    <w:basedOn w:val="1"/>
    <w:qFormat/>
    <w:uiPriority w:val="0"/>
    <w:pPr>
      <w:spacing w:line="560" w:lineRule="exact"/>
      <w:ind w:firstLine="960" w:firstLineChars="300"/>
    </w:pPr>
    <w:rPr>
      <w:rFonts w:ascii="黑体" w:hAnsi="黑体" w:eastAsia="楷体_GB2312" w:cs="黑体"/>
      <w:bCs/>
      <w:kern w:val="0"/>
      <w:sz w:val="32"/>
      <w:szCs w:val="30"/>
    </w:rPr>
  </w:style>
  <w:style w:type="paragraph" w:customStyle="1" w:styleId="10">
    <w:name w:val="3-章节"/>
    <w:basedOn w:val="1"/>
    <w:qFormat/>
    <w:uiPriority w:val="0"/>
    <w:pPr>
      <w:widowControl/>
      <w:spacing w:line="560" w:lineRule="exact"/>
      <w:jc w:val="center"/>
      <w:outlineLvl w:val="1"/>
    </w:pPr>
    <w:rPr>
      <w:rFonts w:ascii="黑体" w:hAnsi="Arial" w:eastAsia="黑体" w:cs="Arial"/>
      <w:bCs/>
      <w:kern w:val="0"/>
      <w:sz w:val="32"/>
      <w:szCs w:val="32"/>
    </w:rPr>
  </w:style>
  <w:style w:type="paragraph" w:customStyle="1" w:styleId="11">
    <w:name w:val="7正"/>
    <w:basedOn w:val="1"/>
    <w:link w:val="12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kern w:val="0"/>
      <w:sz w:val="32"/>
      <w:szCs w:val="30"/>
    </w:rPr>
  </w:style>
  <w:style w:type="character" w:customStyle="1" w:styleId="12">
    <w:name w:val="7正 字符"/>
    <w:basedOn w:val="6"/>
    <w:link w:val="11"/>
    <w:qFormat/>
    <w:uiPriority w:val="0"/>
    <w:rPr>
      <w:rFonts w:ascii="仿宋_GB2312" w:hAnsi="仿宋_GB2312" w:eastAsia="仿宋_GB2312" w:cs="仿宋_GB2312"/>
      <w:kern w:val="0"/>
      <w:sz w:val="32"/>
      <w:szCs w:val="30"/>
    </w:rPr>
  </w:style>
  <w:style w:type="paragraph" w:customStyle="1" w:styleId="13">
    <w:name w:val="List Paragraph"/>
    <w:basedOn w:val="1"/>
    <w:qFormat/>
    <w:uiPriority w:val="0"/>
    <w:pPr>
      <w:spacing w:line="240" w:lineRule="auto"/>
      <w:ind w:firstLine="420" w:firstLineChars="200"/>
    </w:pPr>
    <w:rPr>
      <w:rFonts w:ascii="Calibri" w:hAnsi="Calibri" w:eastAsia="宋体" w:cs="Times New Roman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2021-09-09T18:41:00Z</dcterms:created>
  <dc:creator>t</dc:creator>
  <cp:lastModifiedBy>kylin</cp:lastModifiedBy>
  <cp:lastPrinted>2021-10-26T19:30:00Z</cp:lastPrinted>
  <dcterms:modified xsi:type="dcterms:W3CDTF">2023-12-26T10:59:58Z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989423B361F845069B898C5AE30E9490</vt:lpwstr>
  </property>
</Properties>
</file>