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167D9">
      <w:pPr>
        <w:pStyle w:val="2"/>
        <w:jc w:val="center"/>
        <w:outlineLvl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南昌市小额工程交易平台优化升级项目</w:t>
      </w:r>
    </w:p>
    <w:p w14:paraId="32826E52">
      <w:pPr>
        <w:pStyle w:val="2"/>
        <w:jc w:val="center"/>
        <w:outlineLvl w:val="0"/>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安全测评全过程咨询服务遴选方案</w:t>
      </w:r>
    </w:p>
    <w:p w14:paraId="2F9B1456">
      <w:pPr>
        <w:pStyle w:val="2"/>
        <w:outlineLvl w:val="0"/>
      </w:pPr>
      <w:r>
        <w:t>一、项目基本信息</w:t>
      </w:r>
    </w:p>
    <w:p w14:paraId="3A16AB34">
      <w:pPr>
        <w:pStyle w:val="22"/>
        <w:numPr>
          <w:ilvl w:val="0"/>
          <w:numId w:val="0"/>
        </w:numPr>
        <w:ind w:left="288" w:leftChars="0" w:hanging="288" w:firstLineChars="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1.项目名称：南昌市小额工程交易平台系统优化升级项目安全测评全过程咨询服务</w:t>
      </w:r>
    </w:p>
    <w:p w14:paraId="6FA3C4F4">
      <w:pPr>
        <w:pStyle w:val="22"/>
        <w:numPr>
          <w:ilvl w:val="0"/>
          <w:numId w:val="0"/>
        </w:numPr>
        <w:ind w:left="288" w:leftChars="0" w:hanging="288" w:firstLineChars="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2.采购人：南昌市发展和改革委员会</w:t>
      </w:r>
    </w:p>
    <w:p w14:paraId="1C73C7AA">
      <w:pPr>
        <w:pStyle w:val="22"/>
        <w:numPr>
          <w:ilvl w:val="0"/>
          <w:numId w:val="0"/>
        </w:numPr>
        <w:ind w:left="288" w:leftChars="0" w:hanging="288" w:firstLineChars="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3.项目地点：南昌市（采购人指定地点）</w:t>
      </w:r>
    </w:p>
    <w:p w14:paraId="02DA19DD">
      <w:pPr>
        <w:pStyle w:val="22"/>
        <w:numPr>
          <w:ilvl w:val="0"/>
          <w:numId w:val="0"/>
        </w:numPr>
        <w:ind w:left="288" w:leftChars="0" w:hanging="288" w:firstLineChars="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4.服务期限：合同签订后完成全部服务并提交正式报告</w:t>
      </w:r>
    </w:p>
    <w:p w14:paraId="1DDEE336">
      <w:pPr>
        <w:pStyle w:val="22"/>
        <w:numPr>
          <w:ilvl w:val="0"/>
          <w:numId w:val="0"/>
        </w:numPr>
        <w:ind w:left="288" w:leftChars="0" w:hanging="288" w:firstLineChars="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5.采购预算：人民币11 万元（含税、差旅费、评估评测评审费、报告编制费等全部费用）</w:t>
      </w:r>
    </w:p>
    <w:p w14:paraId="479FEA1A">
      <w:pPr>
        <w:pStyle w:val="22"/>
        <w:numPr>
          <w:ilvl w:val="0"/>
          <w:numId w:val="0"/>
        </w:numPr>
        <w:ind w:left="288" w:leftChars="0" w:hanging="288" w:firstLineChars="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6.服务内容：提供项目终验所需的软件测评、网络安全等级保护测评、信息安全风险评估、渗透测试、密码应用安全性测评等全过程咨询服务</w:t>
      </w:r>
    </w:p>
    <w:p w14:paraId="7361268D">
      <w:pPr>
        <w:pStyle w:val="2"/>
        <w:outlineLvl w:val="0"/>
      </w:pPr>
      <w:r>
        <w:t>二、供应商资格要求</w:t>
      </w:r>
    </w:p>
    <w:p w14:paraId="7A2C7844">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1.满足《中华人民共和国政府采购法》第二十二条规定：</w:t>
      </w:r>
    </w:p>
    <w:p w14:paraId="015D23D7">
      <w:pPr>
        <w:pStyle w:val="22"/>
        <w:numPr>
          <w:ilvl w:val="0"/>
          <w:numId w:val="0"/>
        </w:numPr>
        <w:ind w:left="443" w:leftChars="211" w:firstLine="626" w:firstLineChars="261"/>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（1）具有独立承担民事责任的能力；</w:t>
      </w:r>
    </w:p>
    <w:p w14:paraId="6E00FA2F">
      <w:pPr>
        <w:pStyle w:val="22"/>
        <w:numPr>
          <w:ilvl w:val="0"/>
          <w:numId w:val="0"/>
        </w:numPr>
        <w:ind w:left="443" w:leftChars="211" w:firstLine="626" w:firstLineChars="261"/>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（2）具有良好的商业信誉和健全的财务会计制度；</w:t>
      </w:r>
    </w:p>
    <w:p w14:paraId="2F71604A">
      <w:pPr>
        <w:pStyle w:val="22"/>
        <w:numPr>
          <w:ilvl w:val="0"/>
          <w:numId w:val="0"/>
        </w:numPr>
        <w:ind w:left="443" w:leftChars="211" w:firstLine="626" w:firstLineChars="261"/>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（3）具有履行合同所必需的设备和专业技术能力；</w:t>
      </w:r>
    </w:p>
    <w:p w14:paraId="65E23395">
      <w:pPr>
        <w:pStyle w:val="22"/>
        <w:numPr>
          <w:ilvl w:val="0"/>
          <w:numId w:val="0"/>
        </w:numPr>
        <w:ind w:left="443" w:leftChars="211" w:firstLine="626" w:firstLineChars="261"/>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（4）有依法缴纳税收和社会保障资金的良好记录；</w:t>
      </w:r>
    </w:p>
    <w:p w14:paraId="62D630B0">
      <w:pPr>
        <w:pStyle w:val="22"/>
        <w:numPr>
          <w:ilvl w:val="0"/>
          <w:numId w:val="0"/>
        </w:numPr>
        <w:ind w:left="443" w:leftChars="211" w:firstLine="626" w:firstLineChars="261"/>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（5）参加政府采购活动前三年内，在经营活动中没有重大违法记录。</w:t>
      </w:r>
    </w:p>
    <w:p w14:paraId="72C2DD30">
      <w:pPr>
        <w:pStyle w:val="22"/>
        <w:numPr>
          <w:ilvl w:val="0"/>
          <w:numId w:val="0"/>
        </w:numPr>
        <w:ind w:left="443" w:leftChars="211" w:firstLine="626" w:firstLineChars="261"/>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（6）法律、行政法规规定的其他条件。</w:t>
      </w:r>
    </w:p>
    <w:p w14:paraId="77712CA3">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2.单位负责人为同一人或者存在直接控股、管理关系的不同供应商，不得同时参与本项目响应。</w:t>
      </w:r>
    </w:p>
    <w:p w14:paraId="67CF5664">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3.未被列入“信用中国”网站失信被执行人、重大税收违法失信主体名单，未被列入中国政府采购网政府采购严重违法失信行为记录名单。</w:t>
      </w:r>
    </w:p>
    <w:p w14:paraId="4A2A1F7D">
      <w:pPr>
        <w:pStyle w:val="22"/>
        <w:numPr>
          <w:ilvl w:val="0"/>
          <w:numId w:val="0"/>
        </w:numPr>
        <w:ind w:firstLine="482" w:firstLineChars="200"/>
        <w:rPr>
          <w:rFonts w:hint="default" w:ascii="宋体" w:hAnsi="宋体" w:eastAsia="宋体" w:cs="宋体"/>
          <w:b/>
          <w:bCs/>
          <w:color w:val="000000"/>
          <w:kern w:val="0"/>
          <w:sz w:val="24"/>
          <w:szCs w:val="24"/>
          <w:lang w:val="en-US" w:eastAsia="zh-CN" w:bidi="ar-SA"/>
          <w14:ligatures w14:val="none"/>
        </w:rPr>
      </w:pPr>
      <w:r>
        <w:rPr>
          <w:rFonts w:hint="eastAsia" w:ascii="宋体" w:hAnsi="宋体" w:eastAsia="宋体" w:cs="宋体"/>
          <w:b/>
          <w:bCs/>
          <w:color w:val="000000"/>
          <w:kern w:val="0"/>
          <w:sz w:val="24"/>
          <w:szCs w:val="24"/>
          <w:lang w:val="en-US" w:eastAsia="zh-CN" w:bidi="ar-SA"/>
          <w14:ligatures w14:val="none"/>
        </w:rPr>
        <w:t>以上资格要求供应商可提供信用承诺函，如供应商提供虚假承诺应对其行为承担相应的法律责任。</w:t>
      </w:r>
    </w:p>
    <w:p w14:paraId="6244A7C5">
      <w:pPr>
        <w:pStyle w:val="22"/>
        <w:numPr>
          <w:ilvl w:val="0"/>
          <w:numId w:val="1"/>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本项目不接受联合体响应。</w:t>
      </w:r>
    </w:p>
    <w:p w14:paraId="7420ED25">
      <w:pPr>
        <w:pStyle w:val="22"/>
        <w:numPr>
          <w:ilvl w:val="0"/>
          <w:numId w:val="0"/>
        </w:numPr>
        <w:ind w:firstLine="480" w:firstLineChars="200"/>
        <w:rPr>
          <w:rFonts w:hint="default"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特别注明：供应商自身应具有软件测评、网络安全等级保护测评、信息安全风险评估、渗透测试、密码应用安全性测评等5项评测评审服务资质中的1项或多项，对其自身不具备资质的提交统筹服务方案及承诺。</w:t>
      </w:r>
    </w:p>
    <w:p w14:paraId="36A80B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ascii="Arial" w:hAnsi="Arial" w:eastAsia="等线" w:cs="Arial"/>
          <w:b/>
          <w:bCs/>
          <w:sz w:val="30"/>
          <w:szCs w:val="30"/>
        </w:rPr>
      </w:pPr>
      <w:r>
        <w:rPr>
          <w:rFonts w:hint="eastAsia" w:cs="Arial"/>
          <w:b/>
          <w:bCs/>
          <w:sz w:val="30"/>
          <w:szCs w:val="30"/>
          <w:lang w:eastAsia="zh-CN"/>
        </w:rPr>
        <w:t>三</w:t>
      </w:r>
      <w:r>
        <w:rPr>
          <w:rFonts w:ascii="Arial" w:hAnsi="Arial" w:eastAsia="等线" w:cs="Arial"/>
          <w:b/>
          <w:bCs/>
          <w:sz w:val="30"/>
          <w:szCs w:val="30"/>
        </w:rPr>
        <w:t>、项目服务团队人员要求</w:t>
      </w:r>
    </w:p>
    <w:p w14:paraId="3E5FF368">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供应商须为本项目组建专属、稳定、专职的全过程咨询服务团队，团队成员须全程驻场或按采购人要求即时响应现场服务需求，人员配置、专业资质及服务能力须完全匹配本项目全流程服务标准。</w:t>
      </w:r>
    </w:p>
    <w:p w14:paraId="2F74385B">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服务团队一经确定，非经采购人书面同意不得擅自更换、调离核心人员；确因特殊情况需调整的，供应商须提前7个工作日向采购人提交书面申请及拟替换人员同等及以上资质材料，经采购人审核通过后方可更换，确保项目服务连续性、专业性不受影响。</w:t>
      </w:r>
    </w:p>
    <w:p w14:paraId="30ADABC0">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outlineLvl w:val="1"/>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1.项目负责人（1名）</w:t>
      </w:r>
    </w:p>
    <w:p w14:paraId="2A6392FF">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Chars="200" w:right="0" w:rightChars="0"/>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岗位职责</w:t>
      </w:r>
    </w:p>
    <w:p w14:paraId="4A4741E7">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作为本项目总负责人，全面统筹本项目全流程咨询工作，对项目质量、进度、成果及合规性负总责；</w:t>
      </w:r>
    </w:p>
    <w:p w14:paraId="739CCA52">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负责与采购人、项目实施单位、监管部门的全程沟通对接，协调解决项目实施过程中的各类技术、管理问题；</w:t>
      </w:r>
    </w:p>
    <w:p w14:paraId="0DE94C81">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组织团队开展现场测评、漏洞核查、风险分析、密码合规检查等核心工作，审核所有测试方案、测试数据、缺陷报告及最终正式报告；</w:t>
      </w:r>
    </w:p>
    <w:p w14:paraId="1E791695">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指导项目团队完成问题整改、复测验证，协助采购人完成备案、验收等全流程工作；</w:t>
      </w:r>
    </w:p>
    <w:p w14:paraId="56B43275">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把控项目服务标准，处理项目实施过程中的技术难题、突发问题，确保项目按期、高质量交付。</w:t>
      </w:r>
    </w:p>
    <w:p w14:paraId="1FD9065B">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outlineLvl w:val="1"/>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2. 团队成员</w:t>
      </w:r>
    </w:p>
    <w:p w14:paraId="2913A267">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供应商为本项目配置的团队成员不少于 3名专职技术人员（不含项目负责人），负责软件功能与安全合规测评实施、网络安全等级保护全流程现场勘查、漏洞检测、资料编制与整改方案梳理、信息安全风险评估资产梳理、威胁识别、风险分析及评估报告撰写、全场景渗透测试、漏洞挖掘、复现验证与修复建议输出、密码应用安全测评密码模块核查、密码合规性检测、密码应用整改指导，同步协同完成各测评业务现场调研、资料收集、台账整理、问题汇总、整改咨询、报告编制、甲方答疑及全过程资料归档、配合监管核查等配套咨询服务工作。</w:t>
      </w:r>
    </w:p>
    <w:p w14:paraId="3FE8E5D9">
      <w:pPr>
        <w:pStyle w:val="2"/>
        <w:outlineLvl w:val="0"/>
      </w:pPr>
      <w:r>
        <w:rPr>
          <w:rFonts w:hint="eastAsia"/>
          <w:lang w:val="en-US" w:eastAsia="zh-CN"/>
        </w:rPr>
        <w:t>四</w:t>
      </w:r>
      <w:r>
        <w:t>、服务内容及要求</w:t>
      </w:r>
    </w:p>
    <w:p w14:paraId="11EC5CE3">
      <w:pPr>
        <w:pStyle w:val="3"/>
        <w:outlineLvl w:val="1"/>
      </w:pPr>
      <w:r>
        <w:t>（一）软件测评服务</w:t>
      </w:r>
    </w:p>
    <w:p w14:paraId="22480E5D">
      <w:pPr>
        <w:pStyle w:val="22"/>
        <w:numPr>
          <w:ilvl w:val="0"/>
          <w:numId w:val="0"/>
        </w:numPr>
        <w:ind w:firstLine="480" w:firstLineChars="200"/>
      </w:pPr>
      <w:r>
        <w:rPr>
          <w:rFonts w:hint="eastAsia" w:ascii="宋体" w:hAnsi="宋体" w:eastAsia="宋体" w:cs="宋体"/>
          <w:color w:val="000000"/>
          <w:kern w:val="0"/>
          <w:sz w:val="24"/>
          <w:szCs w:val="24"/>
          <w:lang w:val="en-US" w:eastAsia="zh-CN" w:bidi="ar-SA"/>
          <w14:ligatures w14:val="none"/>
        </w:rPr>
        <w:t>1.依据标准：GB/T 25000.51-2016、GB/T 17544-2019 等国家现行标准；</w:t>
      </w:r>
    </w:p>
    <w:p w14:paraId="363B092E">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2.测评范围：系统功能、性能、兼容性、安全性、易用性、可靠性、可维护性</w:t>
      </w:r>
    </w:p>
    <w:p w14:paraId="7612F136">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3.服务内容：</w:t>
      </w:r>
    </w:p>
    <w:p w14:paraId="6CAC8DB5">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编制测试方案、测试用例；</w:t>
      </w:r>
    </w:p>
    <w:p w14:paraId="5501E4B6">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开展各项验证、测试；</w:t>
      </w:r>
    </w:p>
    <w:p w14:paraId="5EA4EEEB">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提交缺陷报告与整改建议；</w:t>
      </w:r>
    </w:p>
    <w:p w14:paraId="255C49CF">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出具正式《软件测评报告》。</w:t>
      </w:r>
    </w:p>
    <w:p w14:paraId="36D0D99F">
      <w:pPr>
        <w:pStyle w:val="3"/>
        <w:outlineLvl w:val="1"/>
      </w:pPr>
      <w:r>
        <w:t>（二）网络安全等级保护测评（等保测评）</w:t>
      </w:r>
    </w:p>
    <w:p w14:paraId="30D12EC1">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1.依据标准：GB/T 22239-2019、GB/T 22240-2020 等国家现行等保标准；</w:t>
      </w:r>
    </w:p>
    <w:p w14:paraId="13AD80D7">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2.测评等级：二级等保</w:t>
      </w:r>
    </w:p>
    <w:p w14:paraId="3CC90AD8">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3.服务内容：</w:t>
      </w:r>
    </w:p>
    <w:p w14:paraId="71D2DBA9">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协助完成定级、备案；</w:t>
      </w:r>
    </w:p>
    <w:p w14:paraId="4DB3A551">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技术测评（物理、网络、主机、应用、数据安全）；</w:t>
      </w:r>
    </w:p>
    <w:p w14:paraId="4C5D87A2">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管理测评（制度、人员、建设运维、应急）；</w:t>
      </w:r>
    </w:p>
    <w:p w14:paraId="6127FF46">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差距分析与整改指导；</w:t>
      </w:r>
    </w:p>
    <w:p w14:paraId="7405BC39">
      <w:pPr>
        <w:pStyle w:val="22"/>
        <w:numPr>
          <w:ilvl w:val="0"/>
          <w:numId w:val="0"/>
        </w:numPr>
        <w:ind w:firstLine="960" w:firstLineChars="400"/>
      </w:pPr>
      <w:r>
        <w:rPr>
          <w:rFonts w:hint="eastAsia" w:ascii="宋体" w:hAnsi="宋体" w:eastAsia="宋体" w:cs="宋体"/>
          <w:color w:val="000000"/>
          <w:kern w:val="0"/>
          <w:sz w:val="24"/>
          <w:szCs w:val="24"/>
          <w:lang w:val="en-US" w:eastAsia="zh-CN" w:bidi="ar-SA"/>
          <w14:ligatures w14:val="none"/>
        </w:rPr>
        <w:t>◦ 出具《等保测评报告》，协助完成备案。</w:t>
      </w:r>
    </w:p>
    <w:p w14:paraId="1054739C">
      <w:pPr>
        <w:pStyle w:val="3"/>
        <w:outlineLvl w:val="1"/>
      </w:pPr>
      <w:r>
        <w:t>（三）信息安全风险评估</w:t>
      </w:r>
    </w:p>
    <w:p w14:paraId="79BFD428">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1.依据标准：GB/T 20984-2021《信息安全技术 信息安全风险评估方法》等国家现行标准；</w:t>
      </w:r>
    </w:p>
    <w:p w14:paraId="4DF0BFA8">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2.服务内容：</w:t>
      </w:r>
    </w:p>
    <w:p w14:paraId="1C229563">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资产识别与赋值；</w:t>
      </w:r>
    </w:p>
    <w:p w14:paraId="038BA00C">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威胁识别、脆弱性识别；</w:t>
      </w:r>
    </w:p>
    <w:p w14:paraId="2857092B">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现有安全措施确认；</w:t>
      </w:r>
    </w:p>
    <w:p w14:paraId="1F5C96C7">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风险分析与风险等级评价；</w:t>
      </w:r>
    </w:p>
    <w:p w14:paraId="1ECD0CCD">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出具《信息安全风险评估报告》及整改建议。</w:t>
      </w:r>
    </w:p>
    <w:p w14:paraId="4FAC3295">
      <w:pPr>
        <w:pStyle w:val="3"/>
        <w:outlineLvl w:val="1"/>
      </w:pPr>
      <w:r>
        <w:t>（四）渗透测试服务</w:t>
      </w:r>
    </w:p>
    <w:p w14:paraId="20CB2934">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1.依据标准：GB/T 36634-2018《信息安全技术 网络安全渗透测试评估方法》等国家现行标准；</w:t>
      </w:r>
    </w:p>
    <w:p w14:paraId="266E4ECB">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2.测试范围：Web 应用、接口、服务器、网络设备、数据库</w:t>
      </w:r>
    </w:p>
    <w:p w14:paraId="4A2A89E3">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3.服务内容：</w:t>
      </w:r>
    </w:p>
    <w:p w14:paraId="36B70034">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黑盒 + 灰盒渗透测试；</w:t>
      </w:r>
    </w:p>
    <w:p w14:paraId="6E0DC004">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漏洞验证与利用测试；</w:t>
      </w:r>
    </w:p>
    <w:p w14:paraId="44E3ECC3">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提交漏洞详情与修复方案；</w:t>
      </w:r>
    </w:p>
    <w:p w14:paraId="3CB22112">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出具《渗透测试报告》。</w:t>
      </w:r>
    </w:p>
    <w:p w14:paraId="4C194D7C">
      <w:pPr>
        <w:pStyle w:val="3"/>
        <w:outlineLvl w:val="1"/>
      </w:pPr>
      <w:r>
        <w:t>（五）密码应用安全性测评</w:t>
      </w:r>
    </w:p>
    <w:p w14:paraId="18328EE1">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1.依据标准：GB/T 39786-2021《信息安全技术 信息系统密码应用基本要求》、GB/T 43206-2023 等国家密码应用现行标准；</w:t>
      </w:r>
    </w:p>
    <w:p w14:paraId="5A072851">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2.测评内容：</w:t>
      </w:r>
    </w:p>
    <w:p w14:paraId="088C177B">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物理和环境安全、网络和通信安全、设备和计算安全、应用和数据安全；</w:t>
      </w:r>
    </w:p>
    <w:p w14:paraId="3FF76A67">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密钥管理、密码算法合规性、密码设备合规性；</w:t>
      </w:r>
    </w:p>
    <w:p w14:paraId="2041026E">
      <w:pPr>
        <w:pStyle w:val="22"/>
        <w:numPr>
          <w:ilvl w:val="0"/>
          <w:numId w:val="0"/>
        </w:numPr>
        <w:ind w:firstLine="960" w:firstLineChars="4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出具《密码应用测评报告》。</w:t>
      </w:r>
    </w:p>
    <w:p w14:paraId="3DB6F10C">
      <w:pPr>
        <w:pStyle w:val="3"/>
        <w:outlineLvl w:val="1"/>
      </w:pPr>
      <w:r>
        <w:t>（</w:t>
      </w:r>
      <w:r>
        <w:rPr>
          <w:rFonts w:hint="eastAsia"/>
          <w:lang w:val="en-US" w:eastAsia="zh-CN"/>
        </w:rPr>
        <w:t>六</w:t>
      </w:r>
      <w:r>
        <w:t>）交付成果</w:t>
      </w:r>
    </w:p>
    <w:p w14:paraId="1B925333">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1.《软件测评报告》</w:t>
      </w:r>
    </w:p>
    <w:p w14:paraId="4D73C4DF">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2.《等保测评报告》</w:t>
      </w:r>
    </w:p>
    <w:p w14:paraId="7220874B">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3.《信息安全风险评估报告》</w:t>
      </w:r>
    </w:p>
    <w:p w14:paraId="1C32C65A">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4.《渗透测试报告》</w:t>
      </w:r>
    </w:p>
    <w:p w14:paraId="02828B12">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5.《密码应用测评报告》</w:t>
      </w:r>
    </w:p>
    <w:p w14:paraId="72B4F616">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6.全套纸质版报告（加盖公章）各 4 份，电子版 1 份</w:t>
      </w:r>
    </w:p>
    <w:p w14:paraId="35FA6067">
      <w:pPr>
        <w:pStyle w:val="3"/>
        <w:outlineLvl w:val="1"/>
      </w:pPr>
      <w:r>
        <w:t>（</w:t>
      </w:r>
      <w:r>
        <w:rPr>
          <w:rFonts w:hint="eastAsia"/>
          <w:lang w:val="en-US" w:eastAsia="zh-CN"/>
        </w:rPr>
        <w:t>七</w:t>
      </w:r>
      <w:r>
        <w:t>）服务标准</w:t>
      </w:r>
    </w:p>
    <w:p w14:paraId="5D4ABD84">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1.所有报告符合国家、行业现行标准，通过监管部门认可。</w:t>
      </w:r>
    </w:p>
    <w:p w14:paraId="06134394">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2.供应商需提供7×24 小时技术咨询，整改阶段全程配合。</w:t>
      </w:r>
    </w:p>
    <w:p w14:paraId="5742B953">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3.服务过程中严格遵守保密规定，不得泄露系统数据与采购方信息。</w:t>
      </w:r>
    </w:p>
    <w:p w14:paraId="54B5EAD6">
      <w:pPr>
        <w:pStyle w:val="3"/>
        <w:outlineLvl w:val="1"/>
      </w:pPr>
      <w:r>
        <w:t>（</w:t>
      </w:r>
      <w:r>
        <w:rPr>
          <w:rFonts w:hint="eastAsia"/>
          <w:lang w:val="en-US" w:eastAsia="zh-CN"/>
        </w:rPr>
        <w:t>八</w:t>
      </w:r>
      <w:r>
        <w:t>）验收要求</w:t>
      </w:r>
    </w:p>
    <w:p w14:paraId="17EA6850">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1.提交全部合格报告，满足采购方使用与备案要求。</w:t>
      </w:r>
    </w:p>
    <w:p w14:paraId="76C3B5DD">
      <w:pPr>
        <w:pStyle w:val="22"/>
        <w:numPr>
          <w:ilvl w:val="0"/>
          <w:numId w:val="0"/>
        </w:numPr>
        <w:ind w:firstLine="480" w:firstLineChars="200"/>
      </w:pPr>
      <w:r>
        <w:rPr>
          <w:rFonts w:hint="eastAsia" w:ascii="宋体" w:hAnsi="宋体" w:eastAsia="宋体" w:cs="宋体"/>
          <w:color w:val="000000"/>
          <w:kern w:val="0"/>
          <w:sz w:val="24"/>
          <w:szCs w:val="24"/>
          <w:lang w:val="en-US" w:eastAsia="zh-CN" w:bidi="ar-SA"/>
          <w14:ligatures w14:val="none"/>
        </w:rPr>
        <w:t>2.配合完成系统上线前的测评验收工作。</w:t>
      </w:r>
    </w:p>
    <w:p w14:paraId="63B2D3FA">
      <w:pPr>
        <w:pStyle w:val="2"/>
        <w:outlineLvl w:val="0"/>
        <w:rPr>
          <w:rFonts w:hint="eastAsia"/>
          <w:lang w:val="en-US" w:eastAsia="zh-CN"/>
        </w:rPr>
      </w:pPr>
      <w:r>
        <w:rPr>
          <w:rFonts w:hint="eastAsia"/>
          <w:lang w:val="en-US" w:eastAsia="zh-CN"/>
        </w:rPr>
        <w:t>五</w:t>
      </w:r>
      <w:r>
        <w:rPr>
          <w:rFonts w:hint="eastAsia"/>
          <w:lang w:eastAsia="zh-CN"/>
        </w:rPr>
        <w:t>、</w:t>
      </w:r>
      <w:r>
        <w:rPr>
          <w:rFonts w:hint="eastAsia"/>
          <w:lang w:val="en-US" w:eastAsia="zh-CN"/>
        </w:rPr>
        <w:t>评审标准和方法</w:t>
      </w:r>
    </w:p>
    <w:p w14:paraId="00756673">
      <w:pPr>
        <w:pStyle w:val="22"/>
        <w:numPr>
          <w:ilvl w:val="0"/>
          <w:numId w:val="0"/>
        </w:numPr>
        <w:spacing w:line="360" w:lineRule="auto"/>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本次询比采用综合评分法，对供应商价格、技术服务、商务实力进行综合评审，总分20分，其中价格分2分、技术分15分、商务分3分。由评审小组成员独立评分，取平均得分作为供应商最终得分，按得分从高到低确定中选服务机构。总分相同的，以商务得分高者优先；商务得分相同的，以技术得分高者优先；技术得分相同的，以价格得分高者优先。</w:t>
      </w:r>
    </w:p>
    <w:tbl>
      <w:tblPr>
        <w:tblStyle w:val="24"/>
        <w:tblW w:w="9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2"/>
        <w:gridCol w:w="723"/>
        <w:gridCol w:w="7523"/>
        <w:gridCol w:w="1027"/>
      </w:tblGrid>
      <w:tr w14:paraId="66BC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672" w:type="dxa"/>
            <w:noWrap w:val="0"/>
            <w:vAlign w:val="top"/>
          </w:tcPr>
          <w:p w14:paraId="18310001">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tc>
        <w:tc>
          <w:tcPr>
            <w:tcW w:w="723" w:type="dxa"/>
            <w:noWrap w:val="0"/>
            <w:vAlign w:val="top"/>
          </w:tcPr>
          <w:p w14:paraId="76D0BF9E">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分值</w:t>
            </w:r>
          </w:p>
        </w:tc>
        <w:tc>
          <w:tcPr>
            <w:tcW w:w="7523" w:type="dxa"/>
            <w:noWrap w:val="0"/>
            <w:vAlign w:val="top"/>
          </w:tcPr>
          <w:p w14:paraId="3A3833AB">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评审内容</w:t>
            </w:r>
          </w:p>
        </w:tc>
        <w:tc>
          <w:tcPr>
            <w:tcW w:w="1027" w:type="dxa"/>
            <w:noWrap w:val="0"/>
            <w:vAlign w:val="top"/>
          </w:tcPr>
          <w:p w14:paraId="0F2145C5">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最高分值</w:t>
            </w:r>
          </w:p>
        </w:tc>
      </w:tr>
      <w:tr w14:paraId="420F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9945" w:type="dxa"/>
            <w:gridSpan w:val="4"/>
            <w:noWrap w:val="0"/>
            <w:vAlign w:val="top"/>
          </w:tcPr>
          <w:p w14:paraId="0E7F0EEE">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价格部分（2分）</w:t>
            </w:r>
          </w:p>
        </w:tc>
      </w:tr>
      <w:tr w14:paraId="02B3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1" w:hRule="atLeast"/>
          <w:jc w:val="center"/>
        </w:trPr>
        <w:tc>
          <w:tcPr>
            <w:tcW w:w="672" w:type="dxa"/>
            <w:noWrap w:val="0"/>
            <w:vAlign w:val="top"/>
          </w:tcPr>
          <w:p w14:paraId="1BE504F2">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3E9FD85D">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7F559989">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59D4C31F">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72732AE7">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0D701930">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报价</w:t>
            </w:r>
          </w:p>
        </w:tc>
        <w:tc>
          <w:tcPr>
            <w:tcW w:w="723" w:type="dxa"/>
            <w:noWrap w:val="0"/>
            <w:vAlign w:val="top"/>
          </w:tcPr>
          <w:p w14:paraId="3FE56D9A">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2FC4A208">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19B6BEFB">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6AD59A38">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088A076C">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2AA01C5E">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2分</w:t>
            </w:r>
          </w:p>
        </w:tc>
        <w:tc>
          <w:tcPr>
            <w:tcW w:w="7523" w:type="dxa"/>
            <w:noWrap w:val="0"/>
            <w:vAlign w:val="top"/>
          </w:tcPr>
          <w:p w14:paraId="7324BEE6">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价格分采用低价优先法计算，即满足询比文件要求且响应报价最低的响应报价为评审基准价，其价格分为满分。其他供应商的询比报价得分=（评审基准价／响应报价）×2；计算结果保留至小数点后两（第三位小数四舍五入）。</w:t>
            </w:r>
          </w:p>
          <w:p w14:paraId="5D914E95">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2、若供应商投标价格超出采购预算，则该供应商被视为无效响应。</w:t>
            </w:r>
          </w:p>
          <w:p w14:paraId="7EAD1367">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询比小组认为供应商的报价明显低于其他通过符合性审查供应商的报价，有可能影响服务质量或者不能诚信履约的，应当要求其在询比现场合理的时间内提供书面说明，必要时提交相关证明材料（如提供人员成本说明、机械设备情况等）；供应商不能证明其报价合理性的，询比小组应当将其作为无效响应处理。</w:t>
            </w:r>
          </w:p>
        </w:tc>
        <w:tc>
          <w:tcPr>
            <w:tcW w:w="1027" w:type="dxa"/>
            <w:noWrap w:val="0"/>
            <w:vAlign w:val="top"/>
          </w:tcPr>
          <w:p w14:paraId="6F30E08A">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2331BA53">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391A0D04">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05C2F79E">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7872237F">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4764160D">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2分</w:t>
            </w:r>
          </w:p>
        </w:tc>
      </w:tr>
      <w:tr w14:paraId="0B7B1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jc w:val="center"/>
        </w:trPr>
        <w:tc>
          <w:tcPr>
            <w:tcW w:w="9945" w:type="dxa"/>
            <w:gridSpan w:val="4"/>
            <w:noWrap w:val="0"/>
            <w:vAlign w:val="top"/>
          </w:tcPr>
          <w:p w14:paraId="7BEAF2B0">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技术部分（15分）</w:t>
            </w:r>
          </w:p>
        </w:tc>
      </w:tr>
      <w:tr w14:paraId="6B842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72" w:type="dxa"/>
            <w:vMerge w:val="restart"/>
            <w:noWrap w:val="0"/>
            <w:vAlign w:val="top"/>
          </w:tcPr>
          <w:p w14:paraId="2BE84E8A">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616BFED4">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16A97972">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2F47DFC5">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46BE5CB1">
            <w:pPr>
              <w:pStyle w:val="14"/>
              <w:jc w:val="center"/>
              <w:rPr>
                <w:rFonts w:hint="eastAsia" w:ascii="宋体" w:hAnsi="宋体" w:eastAsia="宋体" w:cs="宋体"/>
                <w:color w:val="000000"/>
                <w:kern w:val="0"/>
                <w:sz w:val="24"/>
                <w:szCs w:val="24"/>
                <w:lang w:val="en-US" w:eastAsia="zh-CN" w:bidi="ar-SA"/>
                <w14:ligatures w14:val="none"/>
              </w:rPr>
            </w:pPr>
          </w:p>
          <w:p w14:paraId="024A3060">
            <w:pPr>
              <w:pStyle w:val="14"/>
              <w:jc w:val="center"/>
              <w:rPr>
                <w:rFonts w:hint="eastAsia" w:ascii="宋体" w:hAnsi="宋体" w:eastAsia="宋体" w:cs="宋体"/>
                <w:color w:val="000000"/>
                <w:kern w:val="0"/>
                <w:sz w:val="24"/>
                <w:szCs w:val="24"/>
                <w:lang w:val="en-US" w:eastAsia="zh-CN" w:bidi="ar-SA"/>
                <w14:ligatures w14:val="none"/>
              </w:rPr>
            </w:pPr>
          </w:p>
          <w:p w14:paraId="11646DAA">
            <w:pPr>
              <w:pStyle w:val="14"/>
              <w:jc w:val="center"/>
              <w:rPr>
                <w:rFonts w:hint="eastAsia" w:ascii="宋体" w:hAnsi="宋体" w:eastAsia="宋体" w:cs="宋体"/>
                <w:color w:val="000000"/>
                <w:kern w:val="0"/>
                <w:sz w:val="24"/>
                <w:szCs w:val="24"/>
                <w:lang w:val="en-US" w:eastAsia="zh-CN" w:bidi="ar-SA"/>
                <w14:ligatures w14:val="none"/>
              </w:rPr>
            </w:pPr>
          </w:p>
          <w:p w14:paraId="7D7E2BDB">
            <w:pPr>
              <w:pStyle w:val="14"/>
              <w:jc w:val="center"/>
              <w:rPr>
                <w:rFonts w:hint="eastAsia" w:ascii="宋体" w:hAnsi="宋体" w:eastAsia="宋体" w:cs="宋体"/>
                <w:color w:val="000000"/>
                <w:kern w:val="0"/>
                <w:sz w:val="24"/>
                <w:szCs w:val="24"/>
                <w:lang w:val="en-US" w:eastAsia="zh-CN" w:bidi="ar-SA"/>
                <w14:ligatures w14:val="none"/>
              </w:rPr>
            </w:pPr>
          </w:p>
          <w:p w14:paraId="2AAF9AB0">
            <w:pPr>
              <w:pStyle w:val="14"/>
              <w:jc w:val="center"/>
              <w:rPr>
                <w:rFonts w:hint="eastAsia" w:ascii="宋体" w:hAnsi="宋体" w:eastAsia="宋体" w:cs="宋体"/>
                <w:color w:val="000000"/>
                <w:kern w:val="0"/>
                <w:sz w:val="24"/>
                <w:szCs w:val="24"/>
                <w:lang w:val="en-US" w:eastAsia="zh-CN" w:bidi="ar-SA"/>
                <w14:ligatures w14:val="none"/>
              </w:rPr>
            </w:pPr>
          </w:p>
          <w:p w14:paraId="40E48B15">
            <w:pPr>
              <w:pStyle w:val="14"/>
              <w:jc w:val="center"/>
              <w:rPr>
                <w:rFonts w:hint="eastAsia" w:ascii="宋体" w:hAnsi="宋体" w:eastAsia="宋体" w:cs="宋体"/>
                <w:color w:val="000000"/>
                <w:kern w:val="0"/>
                <w:sz w:val="24"/>
                <w:szCs w:val="24"/>
                <w:lang w:val="en-US" w:eastAsia="zh-CN" w:bidi="ar-SA"/>
                <w14:ligatures w14:val="none"/>
              </w:rPr>
            </w:pPr>
          </w:p>
          <w:p w14:paraId="3722181A">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w:t>
            </w:r>
          </w:p>
        </w:tc>
        <w:tc>
          <w:tcPr>
            <w:tcW w:w="723" w:type="dxa"/>
            <w:noWrap w:val="0"/>
            <w:vAlign w:val="top"/>
          </w:tcPr>
          <w:p w14:paraId="352BB8EB">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248C5157">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4D55C363">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1EB83815">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服务方案</w:t>
            </w:r>
          </w:p>
          <w:p w14:paraId="1B7B2B57">
            <w:pPr>
              <w:spacing w:after="0" w:line="360" w:lineRule="auto"/>
              <w:jc w:val="center"/>
              <w:rPr>
                <w:rFonts w:hint="eastAsia" w:ascii="宋体" w:hAnsi="宋体" w:eastAsia="宋体" w:cs="宋体"/>
                <w:color w:val="000000"/>
                <w:kern w:val="0"/>
                <w:sz w:val="24"/>
                <w:szCs w:val="24"/>
                <w:lang w:val="en-US" w:eastAsia="zh-CN" w:bidi="ar-SA"/>
                <w14:ligatures w14:val="none"/>
              </w:rPr>
            </w:pPr>
          </w:p>
        </w:tc>
        <w:tc>
          <w:tcPr>
            <w:tcW w:w="7523" w:type="dxa"/>
            <w:noWrap w:val="0"/>
            <w:vAlign w:val="top"/>
          </w:tcPr>
          <w:p w14:paraId="0BF50812">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 xml:space="preserve">根据供应商提供的服务方案（包括但不限于：1.软件测评；2.网络安全等级保护测评；3.信息安全风险评估；4.渗透测试；5.密码应用安全性测评等）进行综合评审：以上方案提供完整得满分10分，每有一项漏项扣2分，每有一项不适用项目实际情况的情形，存在凭空编造、逻辑漏洞、科学原理错误以及不可能实现的夸大情形等情况扣1分，最多扣5分。 </w:t>
            </w:r>
          </w:p>
          <w:p w14:paraId="06A97D86">
            <w:pPr>
              <w:spacing w:after="0" w:line="360" w:lineRule="auto"/>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b/>
                <w:bCs/>
                <w:color w:val="000000"/>
                <w:kern w:val="0"/>
                <w:sz w:val="24"/>
                <w:szCs w:val="24"/>
                <w:lang w:val="en-US" w:eastAsia="zh-CN" w:bidi="ar-SA"/>
                <w14:ligatures w14:val="none"/>
              </w:rPr>
              <w:t>评审依据：服务方案</w:t>
            </w:r>
          </w:p>
        </w:tc>
        <w:tc>
          <w:tcPr>
            <w:tcW w:w="1027" w:type="dxa"/>
            <w:noWrap w:val="0"/>
            <w:vAlign w:val="top"/>
          </w:tcPr>
          <w:p w14:paraId="349090CC">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147F5D85">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6E462FA6">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524CD02E">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10分</w:t>
            </w:r>
          </w:p>
        </w:tc>
      </w:tr>
      <w:tr w14:paraId="7007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 w:hRule="atLeast"/>
          <w:jc w:val="center"/>
        </w:trPr>
        <w:tc>
          <w:tcPr>
            <w:tcW w:w="672" w:type="dxa"/>
            <w:vMerge w:val="continue"/>
            <w:noWrap w:val="0"/>
            <w:vAlign w:val="top"/>
          </w:tcPr>
          <w:p w14:paraId="575E1B1E">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tc>
        <w:tc>
          <w:tcPr>
            <w:tcW w:w="723" w:type="dxa"/>
            <w:noWrap w:val="0"/>
            <w:vAlign w:val="top"/>
          </w:tcPr>
          <w:p w14:paraId="7F897F08">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3DAE6871">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AD3B9E4">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70FB0EDF">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b w:val="0"/>
                <w:bCs w:val="0"/>
                <w:color w:val="000000"/>
                <w:kern w:val="0"/>
                <w:sz w:val="24"/>
                <w:szCs w:val="24"/>
                <w:lang w:val="en-US" w:eastAsia="zh-CN" w:bidi="ar-SA"/>
                <w14:ligatures w14:val="none"/>
              </w:rPr>
              <w:t>项目负责人</w:t>
            </w:r>
          </w:p>
          <w:p w14:paraId="52BC8ABC">
            <w:pPr>
              <w:spacing w:after="0" w:line="360" w:lineRule="auto"/>
              <w:jc w:val="center"/>
              <w:rPr>
                <w:rFonts w:hint="eastAsia" w:ascii="宋体" w:hAnsi="宋体" w:eastAsia="宋体" w:cs="宋体"/>
                <w:color w:val="000000"/>
                <w:kern w:val="0"/>
                <w:sz w:val="24"/>
                <w:szCs w:val="24"/>
                <w:lang w:val="en-US" w:eastAsia="zh-CN" w:bidi="ar-SA"/>
                <w14:ligatures w14:val="none"/>
              </w:rPr>
            </w:pPr>
          </w:p>
        </w:tc>
        <w:tc>
          <w:tcPr>
            <w:tcW w:w="7523" w:type="dxa"/>
            <w:noWrap w:val="0"/>
            <w:vAlign w:val="top"/>
          </w:tcPr>
          <w:p w14:paraId="37DB82B1">
            <w:pPr>
              <w:pStyle w:val="22"/>
              <w:numPr>
                <w:ilvl w:val="0"/>
                <w:numId w:val="0"/>
              </w:numPr>
              <w:ind w:firstLine="480" w:firstLineChars="200"/>
              <w:rPr>
                <w:rFonts w:hint="eastAsia" w:ascii="宋体" w:hAnsi="宋体" w:eastAsia="宋体" w:cs="宋体"/>
                <w:b w:val="0"/>
                <w:bCs w:val="0"/>
                <w:color w:val="000000"/>
                <w:kern w:val="0"/>
                <w:sz w:val="24"/>
                <w:szCs w:val="24"/>
                <w:lang w:val="en-US" w:eastAsia="zh-CN" w:bidi="ar-SA"/>
                <w14:ligatures w14:val="none"/>
              </w:rPr>
            </w:pPr>
            <w:r>
              <w:rPr>
                <w:rFonts w:hint="eastAsia" w:ascii="宋体" w:hAnsi="宋体" w:eastAsia="宋体" w:cs="宋体"/>
                <w:b w:val="0"/>
                <w:bCs w:val="0"/>
                <w:color w:val="000000"/>
                <w:kern w:val="0"/>
                <w:sz w:val="24"/>
                <w:szCs w:val="24"/>
                <w:lang w:val="en-US" w:eastAsia="zh-CN" w:bidi="ar-SA"/>
                <w14:ligatures w14:val="none"/>
              </w:rPr>
              <w:t>拟派项目负责人持有以下证书：</w:t>
            </w:r>
          </w:p>
          <w:p w14:paraId="62561AC5">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1.高级全过程工程咨询师证书；</w:t>
            </w:r>
          </w:p>
          <w:p w14:paraId="071A9287">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2.商用密码应用安全性评估从业人员证书；</w:t>
            </w:r>
          </w:p>
          <w:p w14:paraId="46023DBA">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3.软件评测师证书；</w:t>
            </w:r>
          </w:p>
          <w:p w14:paraId="308E0A02">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4.信息安全工程师证书；</w:t>
            </w:r>
          </w:p>
          <w:p w14:paraId="54D28AC5">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5.电子政务师证书；每具有1项得0.5分，本项最多得2.5分。</w:t>
            </w:r>
          </w:p>
          <w:p w14:paraId="3088B57C">
            <w:pPr>
              <w:spacing w:after="0" w:line="360" w:lineRule="auto"/>
              <w:ind w:firstLine="482"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b/>
                <w:bCs/>
                <w:color w:val="000000"/>
                <w:kern w:val="0"/>
                <w:sz w:val="24"/>
                <w:szCs w:val="24"/>
                <w:lang w:val="en-US" w:eastAsia="zh-CN" w:bidi="ar-SA"/>
                <w14:ligatures w14:val="none"/>
              </w:rPr>
              <w:t>评审依据</w:t>
            </w:r>
            <w:bookmarkStart w:id="0" w:name="OLE_LINK46"/>
            <w:r>
              <w:rPr>
                <w:rFonts w:hint="eastAsia" w:ascii="宋体" w:hAnsi="宋体" w:eastAsia="宋体" w:cs="宋体"/>
                <w:b/>
                <w:bCs/>
                <w:color w:val="000000"/>
                <w:kern w:val="0"/>
                <w:sz w:val="24"/>
                <w:szCs w:val="24"/>
                <w:lang w:val="en-US" w:eastAsia="zh-CN" w:bidi="ar-SA"/>
                <w14:ligatures w14:val="none"/>
              </w:rPr>
              <w:t>：</w:t>
            </w:r>
            <w:bookmarkEnd w:id="0"/>
            <w:r>
              <w:rPr>
                <w:rFonts w:hint="eastAsia" w:ascii="宋体" w:hAnsi="宋体" w:eastAsia="宋体" w:cs="宋体"/>
                <w:b/>
                <w:bCs/>
                <w:color w:val="000000"/>
                <w:kern w:val="0"/>
                <w:sz w:val="24"/>
                <w:szCs w:val="24"/>
                <w:lang w:val="en-US" w:eastAsia="zh-CN" w:bidi="ar-SA"/>
                <w14:ligatures w14:val="none"/>
              </w:rPr>
              <w:t>响应文件中提供人员相关证书复印件及开标截止前6个月内任意一个月供应商为其缴社会保障资金的证明材料扫描件，并加盖供应商公章。</w:t>
            </w:r>
          </w:p>
        </w:tc>
        <w:tc>
          <w:tcPr>
            <w:tcW w:w="1027" w:type="dxa"/>
            <w:noWrap w:val="0"/>
            <w:vAlign w:val="top"/>
          </w:tcPr>
          <w:p w14:paraId="44D4F18A">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376DF81C">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084D5D25">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3D8805EE">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70F09169">
            <w:pPr>
              <w:spacing w:after="0" w:line="360" w:lineRule="auto"/>
              <w:jc w:val="center"/>
              <w:rPr>
                <w:rFonts w:hint="default"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2.5分</w:t>
            </w:r>
          </w:p>
        </w:tc>
      </w:tr>
      <w:tr w14:paraId="37540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72" w:type="dxa"/>
            <w:vMerge w:val="continue"/>
            <w:noWrap w:val="0"/>
            <w:vAlign w:val="top"/>
          </w:tcPr>
          <w:p w14:paraId="4D1F3764">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tc>
        <w:tc>
          <w:tcPr>
            <w:tcW w:w="723" w:type="dxa"/>
            <w:noWrap w:val="0"/>
            <w:vAlign w:val="top"/>
          </w:tcPr>
          <w:p w14:paraId="45E7E1AD">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3649FB5">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273A41A8">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056EAABB">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657A9067">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60D3B868">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5F332D82">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团队成员</w:t>
            </w:r>
          </w:p>
        </w:tc>
        <w:tc>
          <w:tcPr>
            <w:tcW w:w="7523" w:type="dxa"/>
            <w:noWrap w:val="0"/>
            <w:vAlign w:val="top"/>
          </w:tcPr>
          <w:p w14:paraId="13B30D57">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拟派本项目的团队成员（</w:t>
            </w:r>
            <w:r>
              <w:rPr>
                <w:rFonts w:hint="eastAsia" w:ascii="宋体" w:hAnsi="宋体" w:eastAsia="宋体" w:cs="宋体"/>
                <w:b w:val="0"/>
                <w:bCs w:val="0"/>
                <w:color w:val="000000"/>
                <w:kern w:val="0"/>
                <w:sz w:val="24"/>
                <w:szCs w:val="24"/>
                <w:lang w:val="en-US" w:eastAsia="zh-CN" w:bidi="ar-SA"/>
                <w14:ligatures w14:val="none"/>
              </w:rPr>
              <w:t>项目负责人除外</w:t>
            </w:r>
            <w:r>
              <w:rPr>
                <w:rFonts w:hint="eastAsia" w:ascii="宋体" w:hAnsi="宋体" w:eastAsia="宋体" w:cs="宋体"/>
                <w:color w:val="000000"/>
                <w:kern w:val="0"/>
                <w:sz w:val="24"/>
                <w:szCs w:val="24"/>
                <w:lang w:val="en-US" w:eastAsia="zh-CN" w:bidi="ar-SA"/>
                <w14:ligatures w14:val="none"/>
              </w:rPr>
              <w:t>）</w:t>
            </w:r>
            <w:r>
              <w:rPr>
                <w:rFonts w:hint="eastAsia" w:ascii="宋体" w:hAnsi="宋体" w:eastAsia="宋体" w:cs="宋体"/>
                <w:b w:val="0"/>
                <w:bCs w:val="0"/>
                <w:color w:val="000000"/>
                <w:kern w:val="0"/>
                <w:sz w:val="24"/>
                <w:szCs w:val="24"/>
                <w:lang w:val="en-US" w:eastAsia="zh-CN" w:bidi="ar-SA"/>
                <w14:ligatures w14:val="none"/>
              </w:rPr>
              <w:t>持有以下证书：</w:t>
            </w:r>
          </w:p>
          <w:p w14:paraId="178D7039">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1.高级测评师证书；</w:t>
            </w:r>
          </w:p>
          <w:p w14:paraId="5F70CC1A">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2.商用密码应用安全性评估从业人员证书；</w:t>
            </w:r>
          </w:p>
          <w:p w14:paraId="3DF048B1">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3.软件评测师证书；</w:t>
            </w:r>
          </w:p>
          <w:p w14:paraId="60F067D8">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4.渗透测试工程师证书；</w:t>
            </w:r>
          </w:p>
          <w:p w14:paraId="2BF3C7FB">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5.信息安全保障人员认证证书（风险管理）；</w:t>
            </w:r>
          </w:p>
          <w:p w14:paraId="12BEF61A">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6.数据库系统工程师证书；</w:t>
            </w:r>
          </w:p>
          <w:p w14:paraId="5993294D">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7.注册网络安全等级测评工程师证书；每具有1项得0.5分，本项最多得2.5分。</w:t>
            </w:r>
          </w:p>
          <w:p w14:paraId="1ED74AA0">
            <w:pPr>
              <w:pStyle w:val="22"/>
              <w:numPr>
                <w:ilvl w:val="0"/>
                <w:numId w:val="0"/>
              </w:numPr>
              <w:ind w:firstLine="480" w:firstLineChars="200"/>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多人同一项证书、一人多项证书只计算1次分值，不重复计分。</w:t>
            </w:r>
          </w:p>
          <w:p w14:paraId="6C229F08">
            <w:pPr>
              <w:spacing w:after="0" w:line="360" w:lineRule="auto"/>
              <w:ind w:firstLine="482"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b/>
                <w:bCs/>
                <w:color w:val="000000"/>
                <w:kern w:val="0"/>
                <w:sz w:val="24"/>
                <w:szCs w:val="24"/>
                <w:lang w:val="en-US" w:eastAsia="zh-CN" w:bidi="ar-SA"/>
                <w14:ligatures w14:val="none"/>
              </w:rPr>
              <w:t>评审依据：响应文件中提供人员相关证书复印件及开标截止前6个月内任意一个月供应商为其缴社会保障资金的证明材料扫描件，并加盖供应商公章。</w:t>
            </w:r>
          </w:p>
        </w:tc>
        <w:tc>
          <w:tcPr>
            <w:tcW w:w="1027" w:type="dxa"/>
            <w:noWrap w:val="0"/>
            <w:vAlign w:val="top"/>
          </w:tcPr>
          <w:p w14:paraId="2CCA0C16">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B0B1B2F">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5CF84B67">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5478BEFE">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0CDE7B5B">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6A836C1C">
            <w:pPr>
              <w:spacing w:after="0" w:line="360" w:lineRule="auto"/>
              <w:jc w:val="both"/>
              <w:rPr>
                <w:rFonts w:hint="eastAsia" w:ascii="宋体" w:hAnsi="宋体" w:eastAsia="宋体" w:cs="宋体"/>
                <w:color w:val="000000"/>
                <w:kern w:val="0"/>
                <w:sz w:val="24"/>
                <w:szCs w:val="24"/>
                <w:lang w:val="en-US" w:eastAsia="zh-CN" w:bidi="ar-SA"/>
                <w14:ligatures w14:val="none"/>
              </w:rPr>
            </w:pPr>
          </w:p>
          <w:p w14:paraId="0354DA3A">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60C437E8">
            <w:pPr>
              <w:spacing w:after="0" w:line="360" w:lineRule="auto"/>
              <w:jc w:val="center"/>
              <w:rPr>
                <w:rFonts w:hint="default"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2.5分</w:t>
            </w:r>
          </w:p>
        </w:tc>
      </w:tr>
      <w:tr w14:paraId="4B3A2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9945" w:type="dxa"/>
            <w:gridSpan w:val="4"/>
            <w:noWrap w:val="0"/>
            <w:vAlign w:val="top"/>
          </w:tcPr>
          <w:p w14:paraId="1DAFE63A">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商务部分（3分）</w:t>
            </w:r>
          </w:p>
        </w:tc>
      </w:tr>
      <w:tr w14:paraId="7D87F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jc w:val="center"/>
        </w:trPr>
        <w:tc>
          <w:tcPr>
            <w:tcW w:w="672" w:type="dxa"/>
            <w:noWrap w:val="0"/>
            <w:vAlign w:val="top"/>
          </w:tcPr>
          <w:p w14:paraId="0E7C8097">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7A17C7FB">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6B37FDE4">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194AE692">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39B4D4A5">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679F82D">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26A7A8E7">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45BD0E7">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w:t>
            </w:r>
          </w:p>
        </w:tc>
        <w:tc>
          <w:tcPr>
            <w:tcW w:w="723" w:type="dxa"/>
            <w:noWrap w:val="0"/>
            <w:vAlign w:val="top"/>
          </w:tcPr>
          <w:p w14:paraId="0C274012">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532D2C79">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0B2A5D0D">
            <w:pPr>
              <w:spacing w:after="0" w:line="360" w:lineRule="auto"/>
              <w:ind w:firstLine="480" w:firstLineChars="200"/>
              <w:jc w:val="both"/>
              <w:rPr>
                <w:rFonts w:hint="eastAsia" w:ascii="宋体" w:hAnsi="宋体" w:eastAsia="宋体" w:cs="宋体"/>
                <w:color w:val="000000"/>
                <w:kern w:val="0"/>
                <w:sz w:val="24"/>
                <w:szCs w:val="24"/>
                <w:lang w:val="en-US" w:eastAsia="zh-CN" w:bidi="ar-SA"/>
                <w14:ligatures w14:val="none"/>
              </w:rPr>
            </w:pPr>
          </w:p>
          <w:p w14:paraId="3FA97537">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177A225">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6BDDF38D">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6D4F4A6C">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供应商实力</w:t>
            </w:r>
          </w:p>
        </w:tc>
        <w:tc>
          <w:tcPr>
            <w:tcW w:w="7523" w:type="dxa"/>
            <w:noWrap w:val="0"/>
            <w:vAlign w:val="top"/>
          </w:tcPr>
          <w:p w14:paraId="21D07044">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供应商具有完善的管理体系认证且认证范围覆盖信息系统测评，具有以下证书的最高得3分。</w:t>
            </w:r>
          </w:p>
          <w:p w14:paraId="25CD7D7E">
            <w:pPr>
              <w:spacing w:after="0" w:line="360" w:lineRule="auto"/>
              <w:ind w:left="559" w:leftChars="266" w:firstLine="0" w:firstLineChars="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1.具有质量管理体系认证证书，得0.75分；</w:t>
            </w:r>
            <w:r>
              <w:rPr>
                <w:rFonts w:hint="eastAsia" w:ascii="宋体" w:hAnsi="宋体" w:eastAsia="宋体" w:cs="宋体"/>
                <w:color w:val="000000"/>
                <w:kern w:val="0"/>
                <w:sz w:val="24"/>
                <w:szCs w:val="24"/>
                <w:lang w:val="en-US" w:eastAsia="zh-CN" w:bidi="ar-SA"/>
                <w14:ligatures w14:val="none"/>
              </w:rPr>
              <w:br w:type="textWrapping"/>
            </w:r>
            <w:r>
              <w:rPr>
                <w:rFonts w:hint="eastAsia" w:ascii="宋体" w:hAnsi="宋体" w:eastAsia="宋体" w:cs="宋体"/>
                <w:color w:val="000000"/>
                <w:kern w:val="0"/>
                <w:sz w:val="24"/>
                <w:szCs w:val="24"/>
                <w:lang w:val="en-US" w:eastAsia="zh-CN" w:bidi="ar-SA"/>
                <w14:ligatures w14:val="none"/>
              </w:rPr>
              <w:t>2.具有信息安全管理体系认证证书，得0.75分；</w:t>
            </w:r>
          </w:p>
          <w:p w14:paraId="4B3E23CF">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3.具有环境管理体系认证证书，得0.75分</w:t>
            </w:r>
          </w:p>
          <w:p w14:paraId="1F9318B7">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4.具有职业健康安全管理体系认证证书，得0.75分。</w:t>
            </w:r>
          </w:p>
          <w:p w14:paraId="20D3A89A">
            <w:pPr>
              <w:spacing w:after="0" w:line="360" w:lineRule="auto"/>
              <w:ind w:firstLine="482"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b/>
                <w:bCs/>
                <w:color w:val="000000"/>
                <w:kern w:val="0"/>
                <w:sz w:val="24"/>
                <w:szCs w:val="24"/>
                <w:lang w:val="en-US" w:eastAsia="zh-CN" w:bidi="ar-SA"/>
                <w14:ligatures w14:val="none"/>
              </w:rPr>
              <w:t>评审依据：响应文件中提供体系认</w:t>
            </w:r>
            <w:bookmarkStart w:id="2" w:name="_GoBack"/>
            <w:bookmarkEnd w:id="2"/>
            <w:r>
              <w:rPr>
                <w:rFonts w:hint="eastAsia" w:ascii="宋体" w:hAnsi="宋体" w:eastAsia="宋体" w:cs="宋体"/>
                <w:b/>
                <w:bCs/>
                <w:color w:val="000000"/>
                <w:kern w:val="0"/>
                <w:sz w:val="24"/>
                <w:szCs w:val="24"/>
                <w:lang w:val="en-US" w:eastAsia="zh-CN" w:bidi="ar-SA"/>
                <w14:ligatures w14:val="none"/>
              </w:rPr>
              <w:t>证证书原件复印件加盖供应商公章。</w:t>
            </w:r>
          </w:p>
        </w:tc>
        <w:tc>
          <w:tcPr>
            <w:tcW w:w="1027" w:type="dxa"/>
            <w:noWrap w:val="0"/>
            <w:vAlign w:val="top"/>
          </w:tcPr>
          <w:p w14:paraId="313930C0">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4921660F">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40AB22C3">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78F74F82">
            <w:pPr>
              <w:spacing w:after="0" w:line="360" w:lineRule="auto"/>
              <w:ind w:firstLine="480" w:firstLineChars="200"/>
              <w:jc w:val="center"/>
              <w:rPr>
                <w:rFonts w:hint="eastAsia" w:ascii="宋体" w:hAnsi="宋体" w:eastAsia="宋体" w:cs="宋体"/>
                <w:color w:val="000000"/>
                <w:kern w:val="0"/>
                <w:sz w:val="24"/>
                <w:szCs w:val="24"/>
                <w:lang w:val="en-US" w:eastAsia="zh-CN" w:bidi="ar-SA"/>
                <w14:ligatures w14:val="none"/>
              </w:rPr>
            </w:pPr>
          </w:p>
          <w:p w14:paraId="1E609870">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1813B877">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0C052566">
            <w:pPr>
              <w:spacing w:after="0" w:line="360" w:lineRule="auto"/>
              <w:jc w:val="center"/>
              <w:rPr>
                <w:rFonts w:hint="eastAsia" w:ascii="宋体" w:hAnsi="宋体" w:eastAsia="宋体" w:cs="宋体"/>
                <w:color w:val="000000"/>
                <w:kern w:val="0"/>
                <w:sz w:val="24"/>
                <w:szCs w:val="24"/>
                <w:lang w:val="en-US" w:eastAsia="zh-CN" w:bidi="ar-SA"/>
                <w14:ligatures w14:val="none"/>
              </w:rPr>
            </w:pPr>
          </w:p>
          <w:p w14:paraId="4DA1BA7B">
            <w:pPr>
              <w:spacing w:after="0" w:line="360" w:lineRule="auto"/>
              <w:jc w:val="center"/>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3分</w:t>
            </w:r>
          </w:p>
        </w:tc>
      </w:tr>
    </w:tbl>
    <w:p w14:paraId="3452CF02">
      <w:pPr>
        <w:pStyle w:val="2"/>
        <w:outlineLvl w:val="0"/>
        <w:rPr>
          <w:rFonts w:hint="eastAsia"/>
          <w:lang w:val="en-US" w:eastAsia="zh-CN"/>
        </w:rPr>
      </w:pPr>
      <w:bookmarkStart w:id="1" w:name="heading_10"/>
      <w:r>
        <w:rPr>
          <w:rFonts w:hint="eastAsia"/>
          <w:lang w:val="en-US" w:eastAsia="zh-CN"/>
        </w:rPr>
        <w:t>六、其他说明</w:t>
      </w:r>
      <w:bookmarkEnd w:id="1"/>
    </w:p>
    <w:p w14:paraId="6095E9D5">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1. 供应商报价突破本次采购预算的，直接视为无效响应；评分标准涉及的佐证材料，未按要求提供的，不予计分。</w:t>
      </w:r>
    </w:p>
    <w:p w14:paraId="27D321D6">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2. 所有评审材料复印件均需加盖投标单位公章。</w:t>
      </w:r>
    </w:p>
    <w:p w14:paraId="4639DAFB">
      <w:pPr>
        <w:spacing w:after="0" w:line="360" w:lineRule="auto"/>
        <w:ind w:firstLine="480" w:firstLineChars="200"/>
        <w:jc w:val="left"/>
        <w:rPr>
          <w:rFonts w:hint="eastAsia" w:ascii="宋体" w:hAnsi="宋体" w:eastAsia="宋体" w:cs="宋体"/>
          <w:color w:val="000000"/>
          <w:kern w:val="0"/>
          <w:sz w:val="24"/>
          <w:szCs w:val="24"/>
          <w:lang w:val="en-US" w:eastAsia="zh-CN" w:bidi="ar-SA"/>
          <w14:ligatures w14:val="none"/>
        </w:rPr>
      </w:pPr>
      <w:r>
        <w:rPr>
          <w:rFonts w:hint="eastAsia" w:ascii="宋体" w:hAnsi="宋体" w:eastAsia="宋体" w:cs="宋体"/>
          <w:color w:val="000000"/>
          <w:kern w:val="0"/>
          <w:sz w:val="24"/>
          <w:szCs w:val="24"/>
          <w:lang w:val="en-US" w:eastAsia="zh-CN" w:bidi="ar-SA"/>
          <w14:ligatures w14:val="none"/>
        </w:rPr>
        <w:t>3. 采购人有权核查成交供应商响应材料的真实性，一经发现弄虚作假，立即取消其中选资格，并上报相关主管部门严肃处理。</w:t>
      </w:r>
    </w:p>
    <w:p w14:paraId="7DA0D83B">
      <w:pPr>
        <w:pStyle w:val="22"/>
        <w:numPr>
          <w:ilvl w:val="0"/>
          <w:numId w:val="0"/>
        </w:numPr>
        <w:ind w:firstLine="440" w:firstLineChars="200"/>
        <w:rPr>
          <w:rFonts w:hint="eastAsia"/>
          <w:lang w:val="en-US" w:eastAsia="zh-CN"/>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书宋简体">
    <w:altName w:val="宋体"/>
    <w:panose1 w:val="020B0604020202020204"/>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6C748"/>
    <w:multiLevelType w:val="singleLevel"/>
    <w:tmpl w:val="CA96C748"/>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docVars>
    <w:docVar w:name="commondata" w:val="eyJoZGlkIjoiNTUwNWZlOWNlMDMyYmJkNjdlOWRmYjY5NzgwYTZkNGUifQ=="/>
  </w:docVars>
  <w:rsids>
    <w:rsidRoot w:val="00000000"/>
    <w:rsid w:val="031721BB"/>
    <w:rsid w:val="113A475D"/>
    <w:rsid w:val="122644D9"/>
    <w:rsid w:val="16CA0776"/>
    <w:rsid w:val="1ACC1CAF"/>
    <w:rsid w:val="1D4467C9"/>
    <w:rsid w:val="21E410FD"/>
    <w:rsid w:val="248E6BA2"/>
    <w:rsid w:val="2D9C7CB7"/>
    <w:rsid w:val="31870357"/>
    <w:rsid w:val="35B42E79"/>
    <w:rsid w:val="37080AEB"/>
    <w:rsid w:val="38783980"/>
    <w:rsid w:val="39543D68"/>
    <w:rsid w:val="396D0BBB"/>
    <w:rsid w:val="39F6320F"/>
    <w:rsid w:val="3FDE602B"/>
    <w:rsid w:val="44FA6A7F"/>
    <w:rsid w:val="47DB5B06"/>
    <w:rsid w:val="498B4E7F"/>
    <w:rsid w:val="4FB56C3C"/>
    <w:rsid w:val="5CF1699B"/>
    <w:rsid w:val="5D9C58DF"/>
    <w:rsid w:val="64DC105E"/>
    <w:rsid w:val="68F14632"/>
    <w:rsid w:val="70AB0B18"/>
    <w:rsid w:val="759A6652"/>
    <w:rsid w:val="7D0E4FCB"/>
    <w:rsid w:val="7E345D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8">
    <w:name w:val="Body Text"/>
    <w:basedOn w:val="1"/>
    <w:next w:val="9"/>
    <w:qFormat/>
    <w:uiPriority w:val="0"/>
    <w:rPr>
      <w:rFonts w:ascii="黑体" w:hAnsi="Courier New" w:eastAsia="黑体"/>
      <w:sz w:val="30"/>
      <w:shd w:val="pct10" w:color="auto" w:fill="FFFFFF"/>
    </w:rPr>
  </w:style>
  <w:style w:type="paragraph" w:styleId="9">
    <w:name w:val="Body Text First Indent"/>
    <w:basedOn w:val="8"/>
    <w:next w:val="1"/>
    <w:qFormat/>
    <w:uiPriority w:val="0"/>
    <w:pPr>
      <w:tabs>
        <w:tab w:val="left" w:pos="208"/>
      </w:tabs>
      <w:spacing w:after="120" w:line="240" w:lineRule="auto"/>
      <w:ind w:firstLine="420" w:firstLineChars="100"/>
    </w:pPr>
    <w:rPr>
      <w:rFonts w:ascii="Times New Roman" w:eastAsia="宋体"/>
      <w:sz w:val="21"/>
    </w:rPr>
  </w:style>
  <w:style w:type="paragraph" w:styleId="10">
    <w:name w:val="Body Text Indent"/>
    <w:basedOn w:val="1"/>
    <w:qFormat/>
    <w:uiPriority w:val="0"/>
    <w:pPr>
      <w:spacing w:line="380" w:lineRule="exact"/>
      <w:ind w:firstLine="480"/>
    </w:pPr>
    <w:rPr>
      <w:rFonts w:eastAsia="方正书宋简体"/>
      <w:kern w:val="0"/>
      <w:sz w:val="24"/>
      <w:szCs w:val="20"/>
    </w:rPr>
  </w:style>
  <w:style w:type="paragraph" w:styleId="11">
    <w:name w:val="footnote text"/>
    <w:link w:val="21"/>
    <w:semiHidden/>
    <w:unhideWhenUsed/>
    <w:qFormat/>
    <w:uiPriority w:val="99"/>
    <w:pPr>
      <w:spacing w:after="0" w:line="240" w:lineRule="auto"/>
    </w:pPr>
    <w:rPr>
      <w:rFonts w:asciiTheme="minorHAnsi" w:hAnsiTheme="minorHAnsi" w:eastAsiaTheme="minorEastAsia" w:cstheme="minorBidi"/>
      <w:sz w:val="20"/>
      <w:szCs w:val="20"/>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Title"/>
    <w:qFormat/>
    <w:uiPriority w:val="0"/>
    <w:pPr>
      <w:spacing w:before="480" w:after="480" w:line="288" w:lineRule="auto"/>
      <w:ind w:left="0"/>
    </w:pPr>
    <w:rPr>
      <w:rFonts w:ascii="Arial" w:hAnsi="Arial" w:eastAsia="等线" w:cs="Arial"/>
      <w:b/>
      <w:bCs/>
      <w:sz w:val="52"/>
      <w:szCs w:val="52"/>
    </w:rPr>
  </w:style>
  <w:style w:type="paragraph" w:styleId="14">
    <w:name w:val="Body Text First Indent 2"/>
    <w:basedOn w:val="10"/>
    <w:qFormat/>
    <w:uiPriority w:val="0"/>
    <w:pPr>
      <w:spacing w:after="120" w:line="240" w:lineRule="auto"/>
      <w:ind w:left="420" w:leftChars="200" w:firstLine="420" w:firstLineChars="200"/>
    </w:pPr>
    <w:rPr>
      <w:sz w:val="21"/>
      <w:szCs w:val="24"/>
    </w:rPr>
  </w:style>
  <w:style w:type="character" w:styleId="17">
    <w:name w:val="Strong"/>
    <w:basedOn w:val="16"/>
    <w:qFormat/>
    <w:uiPriority w:val="0"/>
    <w:rPr>
      <w:b/>
    </w:rPr>
  </w:style>
  <w:style w:type="character" w:styleId="18">
    <w:name w:val="Hyperlink"/>
    <w:unhideWhenUsed/>
    <w:qFormat/>
    <w:uiPriority w:val="99"/>
    <w:rPr>
      <w:color w:val="0563C1"/>
      <w:u w:val="single"/>
    </w:rPr>
  </w:style>
  <w:style w:type="character" w:styleId="19">
    <w:name w:val="footnote reference"/>
    <w:semiHidden/>
    <w:unhideWhenUsed/>
    <w:qFormat/>
    <w:uiPriority w:val="99"/>
    <w:rPr>
      <w:vertAlign w:val="superscript"/>
    </w:rPr>
  </w:style>
  <w:style w:type="paragraph" w:styleId="20">
    <w:name w:val="List Paragraph"/>
    <w:qFormat/>
    <w:uiPriority w:val="0"/>
    <w:rPr>
      <w:rFonts w:asciiTheme="minorHAnsi" w:hAnsiTheme="minorHAnsi" w:eastAsiaTheme="minorEastAsia" w:cstheme="minorBidi"/>
      <w:sz w:val="21"/>
      <w:szCs w:val="22"/>
    </w:rPr>
  </w:style>
  <w:style w:type="character" w:customStyle="1" w:styleId="21">
    <w:name w:val="Footnote Text Char"/>
    <w:link w:val="11"/>
    <w:semiHidden/>
    <w:unhideWhenUsed/>
    <w:qFormat/>
    <w:uiPriority w:val="99"/>
    <w:rPr>
      <w:sz w:val="20"/>
      <w:szCs w:val="20"/>
    </w:rPr>
  </w:style>
  <w:style w:type="paragraph" w:customStyle="1" w:styleId="22">
    <w:name w:val="_Style 13"/>
    <w:qFormat/>
    <w:uiPriority w:val="0"/>
    <w:pPr>
      <w:spacing w:before="120" w:after="120" w:line="288" w:lineRule="auto"/>
      <w:ind w:left="0"/>
      <w:jc w:val="left"/>
    </w:pPr>
    <w:rPr>
      <w:rFonts w:ascii="Arial" w:hAnsi="Arial" w:eastAsia="等线" w:cs="Arial"/>
      <w:sz w:val="22"/>
      <w:szCs w:val="22"/>
    </w:rPr>
  </w:style>
  <w:style w:type="paragraph" w:customStyle="1" w:styleId="23">
    <w:name w:val="_Style 14"/>
    <w:qFormat/>
    <w:uiPriority w:val="0"/>
    <w:pPr>
      <w:spacing w:before="120" w:after="120" w:line="288" w:lineRule="auto"/>
      <w:ind w:left="0"/>
      <w:jc w:val="left"/>
    </w:pPr>
    <w:rPr>
      <w:rFonts w:ascii="Arial" w:hAnsi="Arial" w:eastAsia="等线" w:cs="Arial"/>
      <w:color w:val="8F959E"/>
      <w:sz w:val="22"/>
      <w:szCs w:val="22"/>
    </w:rPr>
  </w:style>
  <w:style w:type="table" w:customStyle="1" w:styleId="2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3616</Words>
  <Characters>3803</Characters>
  <TotalTime>13</TotalTime>
  <ScaleCrop>false</ScaleCrop>
  <LinksUpToDate>false</LinksUpToDate>
  <CharactersWithSpaces>3853</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2026-03-16T08:05:00Z</dcterms:created>
  <dc:creator>Un-named</dc:creator>
  <cp:lastModifiedBy>鄱阳湖闲人。</cp:lastModifiedBy>
  <cp:lastPrinted>2026-03-17T09:27:00Z</cp:lastPrinted>
  <dcterms:modified xsi:type="dcterms:W3CDTF">2026-08-13T07:42:26Z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eyJoZGlkIjoiM2JiNWRlZjc1OWRjMGRlYmM2MjNlZTQ2MDUxZDE2NmIiLCJ1c2VySWQiOiIxMjA4NDY0MDA1In0=</vt:lpwstr>
  </property>
  <property fmtid="{D5CDD505-2E9C-101B-9397-08002B2CF9AE}" pid="3" name="KSOProductBuildVer">
    <vt:lpwstr>2052-12.1.0.18608</vt:lpwstr>
  </property>
  <property fmtid="{D5CDD505-2E9C-101B-9397-08002B2CF9AE}" pid="4" name="ICV">
    <vt:lpwstr>5D1BD17C1E594B6BBB534C516479DF1E_13</vt:lpwstr>
  </property>
</Properties>
</file>