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8EF0C8">
      <w:pPr>
        <w:jc w:val="center"/>
        <w:rPr>
          <w:rFonts w:hint="eastAsia" w:ascii="方正小标宋简体" w:eastAsia="方正小标宋简体"/>
          <w:color w:val="FF0000"/>
          <w:spacing w:val="-20"/>
          <w:sz w:val="96"/>
          <w:szCs w:val="96"/>
        </w:rPr>
      </w:pPr>
      <w:r>
        <w:rPr>
          <w:rFonts w:hint="eastAsia" w:ascii="方正小标宋简体" w:eastAsia="方正小标宋简体"/>
          <w:color w:val="FF0000"/>
          <w:spacing w:val="-20"/>
          <w:sz w:val="96"/>
          <w:szCs w:val="96"/>
          <w:lang w:eastAsia="zh-CN"/>
        </w:rPr>
        <w:t>南</w:t>
      </w:r>
      <w:r>
        <w:rPr>
          <w:rFonts w:hint="eastAsia" w:ascii="方正小标宋简体" w:eastAsia="方正小标宋简体"/>
          <w:color w:val="FF0000"/>
          <w:spacing w:val="-20"/>
          <w:sz w:val="96"/>
          <w:szCs w:val="96"/>
          <w:lang w:val="en-US" w:eastAsia="zh-CN"/>
        </w:rPr>
        <w:t xml:space="preserve">  </w:t>
      </w:r>
      <w:r>
        <w:rPr>
          <w:rFonts w:hint="eastAsia" w:ascii="方正小标宋简体" w:eastAsia="方正小标宋简体"/>
          <w:color w:val="FF0000"/>
          <w:spacing w:val="-20"/>
          <w:sz w:val="96"/>
          <w:szCs w:val="96"/>
          <w:lang w:eastAsia="zh-CN"/>
        </w:rPr>
        <w:t>昌</w:t>
      </w:r>
      <w:r>
        <w:rPr>
          <w:rFonts w:hint="eastAsia" w:ascii="方正小标宋简体" w:eastAsia="方正小标宋简体"/>
          <w:color w:val="FF0000"/>
          <w:spacing w:val="-20"/>
          <w:sz w:val="96"/>
          <w:szCs w:val="96"/>
          <w:lang w:val="en-US" w:eastAsia="zh-CN"/>
        </w:rPr>
        <w:t xml:space="preserve"> </w:t>
      </w:r>
      <w:r>
        <w:rPr>
          <w:rFonts w:hint="eastAsia" w:ascii="方正小标宋简体" w:eastAsia="方正小标宋简体"/>
          <w:color w:val="FF0000"/>
          <w:spacing w:val="-20"/>
          <w:sz w:val="96"/>
          <w:szCs w:val="96"/>
        </w:rPr>
        <w:t xml:space="preserve"> 价</w:t>
      </w:r>
      <w:r>
        <w:rPr>
          <w:rFonts w:hint="eastAsia" w:ascii="方正小标宋简体" w:eastAsia="方正小标宋简体"/>
          <w:color w:val="FF0000"/>
          <w:spacing w:val="-20"/>
          <w:sz w:val="96"/>
          <w:szCs w:val="96"/>
          <w:lang w:val="en-US" w:eastAsia="zh-CN"/>
        </w:rPr>
        <w:t xml:space="preserve"> </w:t>
      </w:r>
      <w:r>
        <w:rPr>
          <w:rFonts w:hint="eastAsia" w:ascii="方正小标宋简体" w:eastAsia="方正小标宋简体"/>
          <w:color w:val="FF0000"/>
          <w:spacing w:val="-20"/>
          <w:sz w:val="96"/>
          <w:szCs w:val="96"/>
        </w:rPr>
        <w:t xml:space="preserve"> 格 </w:t>
      </w:r>
      <w:r>
        <w:rPr>
          <w:rFonts w:hint="eastAsia" w:ascii="方正小标宋简体" w:eastAsia="方正小标宋简体"/>
          <w:color w:val="FF0000"/>
          <w:spacing w:val="-20"/>
          <w:sz w:val="96"/>
          <w:szCs w:val="96"/>
          <w:lang w:val="en-US" w:eastAsia="zh-CN"/>
        </w:rPr>
        <w:t xml:space="preserve"> </w:t>
      </w:r>
      <w:r>
        <w:rPr>
          <w:rFonts w:hint="eastAsia" w:ascii="方正小标宋简体" w:eastAsia="方正小标宋简体"/>
          <w:color w:val="FF0000"/>
          <w:spacing w:val="-20"/>
          <w:sz w:val="96"/>
          <w:szCs w:val="96"/>
        </w:rPr>
        <w:t xml:space="preserve">监 </w:t>
      </w:r>
      <w:r>
        <w:rPr>
          <w:rFonts w:hint="eastAsia" w:ascii="方正小标宋简体" w:eastAsia="方正小标宋简体"/>
          <w:color w:val="FF0000"/>
          <w:spacing w:val="-20"/>
          <w:sz w:val="96"/>
          <w:szCs w:val="96"/>
          <w:lang w:val="en-US" w:eastAsia="zh-CN"/>
        </w:rPr>
        <w:t xml:space="preserve"> </w:t>
      </w:r>
      <w:r>
        <w:rPr>
          <w:rFonts w:hint="eastAsia" w:ascii="方正小标宋简体" w:eastAsia="方正小标宋简体"/>
          <w:color w:val="FF0000"/>
          <w:spacing w:val="-20"/>
          <w:sz w:val="96"/>
          <w:szCs w:val="96"/>
        </w:rPr>
        <w:t>测</w:t>
      </w:r>
    </w:p>
    <w:p w14:paraId="19142249">
      <w:pPr>
        <w:rPr>
          <w:rFonts w:hint="eastAsia" w:ascii="仿宋_GB2312" w:eastAsia="仿宋_GB2312"/>
          <w:color w:val="FF0000"/>
          <w:sz w:val="32"/>
          <w:szCs w:val="32"/>
        </w:rPr>
      </w:pPr>
    </w:p>
    <w:p w14:paraId="7B015F81">
      <w:pPr>
        <w:rPr>
          <w:rFonts w:hint="eastAsia" w:ascii="仿宋_GB2312" w:eastAsia="仿宋_GB2312"/>
          <w:color w:val="FF0000"/>
          <w:sz w:val="32"/>
          <w:szCs w:val="32"/>
        </w:rPr>
      </w:pPr>
    </w:p>
    <w:p w14:paraId="2D1B0A33">
      <w:pPr>
        <w:rPr>
          <w:rFonts w:hint="eastAsia" w:ascii="黑体" w:hAnsi="黑体" w:eastAsia="黑体"/>
          <w:color w:val="000000"/>
          <w:sz w:val="28"/>
          <w:szCs w:val="28"/>
        </w:rPr>
      </w:pPr>
      <w:r>
        <w:rPr>
          <w:rFonts w:hint="eastAsia" w:ascii="黑体" w:hAnsi="黑体" w:eastAsia="黑体"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-53340</wp:posOffset>
                </wp:positionH>
                <wp:positionV relativeFrom="paragraph">
                  <wp:posOffset>373380</wp:posOffset>
                </wp:positionV>
                <wp:extent cx="5539740" cy="0"/>
                <wp:effectExtent l="0" t="15875" r="3810" b="22225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39740" cy="0"/>
                        </a:xfrm>
                        <a:prstGeom prst="straightConnector1">
                          <a:avLst/>
                        </a:prstGeom>
                        <a:ln w="317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4.2pt;margin-top:29.4pt;height:0pt;width:436.2pt;z-index:251659264;mso-width-relative:page;mso-height-relative:page;" filled="f" stroked="t" coordsize="21600,21600" o:gfxdata="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IZv4wrVAAAACAEAAA8AAAAAAAAAAQAgAAAAIgAAAGRycy9kb3ducmV2&#10;LnhtbFBLAQIUABQAAAAIAIdO4kA8XOEH/wEAAO0DAAAOAAAAAAAAAAEAIAAAACQBAABkcnMvZTJv&#10;RG9jLnhtbFBLBQYAAAAABgAGAFkBAACVBQAAAAA=&#10;">
                <v:fill on="f" focussize="0,0"/>
                <v:stroke weight="2.5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黑体" w:hAnsi="黑体" w:eastAsia="黑体"/>
          <w:color w:val="000000"/>
          <w:sz w:val="28"/>
          <w:szCs w:val="28"/>
          <w:lang w:eastAsia="zh-CN"/>
        </w:rPr>
        <w:t>南昌市价格认定监测中心</w:t>
      </w:r>
      <w:r>
        <w:rPr>
          <w:rFonts w:hint="eastAsia" w:ascii="黑体" w:hAnsi="黑体" w:eastAsia="黑体"/>
          <w:color w:val="000000"/>
          <w:sz w:val="28"/>
          <w:szCs w:val="28"/>
        </w:rPr>
        <w:t xml:space="preserve">             </w:t>
      </w:r>
      <w:r>
        <w:rPr>
          <w:rFonts w:hint="eastAsia" w:ascii="黑体" w:hAnsi="黑体" w:eastAsia="黑体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黑体" w:hAnsi="黑体" w:eastAsia="黑体"/>
          <w:color w:val="000000"/>
          <w:sz w:val="28"/>
          <w:szCs w:val="28"/>
        </w:rPr>
        <w:t xml:space="preserve">  </w:t>
      </w:r>
      <w:r>
        <w:rPr>
          <w:rFonts w:hint="default" w:ascii="黑体" w:hAnsi="黑体" w:eastAsia="黑体"/>
          <w:color w:val="000000"/>
          <w:sz w:val="28"/>
          <w:szCs w:val="28"/>
          <w:lang w:val="en"/>
        </w:rPr>
        <w:t xml:space="preserve"> </w:t>
      </w:r>
      <w:r>
        <w:rPr>
          <w:rFonts w:hint="eastAsia" w:ascii="黑体" w:hAnsi="黑体" w:eastAsia="黑体"/>
          <w:color w:val="000000"/>
          <w:sz w:val="28"/>
          <w:szCs w:val="28"/>
        </w:rPr>
        <w:t xml:space="preserve"> </w:t>
      </w:r>
      <w:r>
        <w:rPr>
          <w:rFonts w:hint="eastAsia" w:ascii="黑体" w:hAnsi="黑体" w:eastAsia="黑体"/>
          <w:color w:val="000000"/>
          <w:sz w:val="28"/>
          <w:szCs w:val="28"/>
          <w:lang w:val="en-US" w:eastAsia="zh-CN"/>
        </w:rPr>
        <w:t xml:space="preserve">    </w:t>
      </w:r>
      <w:r>
        <w:rPr>
          <w:rFonts w:hint="eastAsia" w:ascii="黑体" w:hAnsi="黑体" w:eastAsia="黑体"/>
          <w:color w:val="000000"/>
          <w:sz w:val="28"/>
          <w:szCs w:val="28"/>
        </w:rPr>
        <w:t>202</w:t>
      </w:r>
      <w:r>
        <w:rPr>
          <w:rFonts w:hint="eastAsia" w:ascii="黑体" w:hAnsi="黑体" w:eastAsia="黑体"/>
          <w:color w:val="000000"/>
          <w:sz w:val="28"/>
          <w:szCs w:val="28"/>
          <w:lang w:val="en-US" w:eastAsia="zh-CN"/>
        </w:rPr>
        <w:t>6</w:t>
      </w:r>
      <w:r>
        <w:rPr>
          <w:rFonts w:hint="eastAsia" w:ascii="黑体" w:hAnsi="黑体" w:eastAsia="黑体"/>
          <w:color w:val="000000"/>
          <w:sz w:val="28"/>
          <w:szCs w:val="28"/>
        </w:rPr>
        <w:t>年</w:t>
      </w:r>
      <w:r>
        <w:rPr>
          <w:rFonts w:hint="eastAsia" w:ascii="黑体" w:hAnsi="黑体" w:eastAsia="黑体"/>
          <w:color w:val="000000"/>
          <w:sz w:val="28"/>
          <w:szCs w:val="28"/>
          <w:lang w:val="en-US" w:eastAsia="zh-CN"/>
        </w:rPr>
        <w:t>1</w:t>
      </w:r>
      <w:r>
        <w:rPr>
          <w:rFonts w:hint="eastAsia" w:ascii="黑体" w:hAnsi="黑体" w:eastAsia="黑体"/>
          <w:color w:val="000000"/>
          <w:sz w:val="28"/>
          <w:szCs w:val="28"/>
        </w:rPr>
        <w:t>月</w:t>
      </w:r>
      <w:r>
        <w:rPr>
          <w:rFonts w:hint="eastAsia" w:ascii="黑体" w:hAnsi="黑体" w:eastAsia="黑体"/>
          <w:color w:val="000000"/>
          <w:sz w:val="28"/>
          <w:szCs w:val="28"/>
          <w:lang w:val="en-US" w:eastAsia="zh-CN"/>
        </w:rPr>
        <w:t>4</w:t>
      </w:r>
      <w:r>
        <w:rPr>
          <w:rFonts w:hint="eastAsia" w:ascii="黑体" w:hAnsi="黑体" w:eastAsia="黑体"/>
          <w:color w:val="000000"/>
          <w:sz w:val="28"/>
          <w:szCs w:val="28"/>
        </w:rPr>
        <w:t>日</w:t>
      </w:r>
    </w:p>
    <w:p w14:paraId="721632F1">
      <w:pPr>
        <w:spacing w:line="240" w:lineRule="atLeast"/>
        <w:jc w:val="both"/>
        <w:rPr>
          <w:rFonts w:hint="eastAsia" w:ascii="黑体" w:hAnsi="黑体" w:eastAsia="黑体"/>
          <w:b/>
          <w:sz w:val="44"/>
          <w:szCs w:val="44"/>
          <w:lang w:val="en-US" w:eastAsia="zh-CN"/>
        </w:rPr>
      </w:pPr>
    </w:p>
    <w:p w14:paraId="2CD3867F">
      <w:pPr>
        <w:spacing w:line="240" w:lineRule="atLeast"/>
        <w:jc w:val="center"/>
        <w:rPr>
          <w:rFonts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  <w:lang w:val="en-US" w:eastAsia="zh-CN"/>
        </w:rPr>
        <w:t>十二</w:t>
      </w:r>
      <w:r>
        <w:rPr>
          <w:rFonts w:hint="eastAsia" w:ascii="黑体" w:hAnsi="黑体" w:eastAsia="黑体"/>
          <w:b/>
          <w:sz w:val="44"/>
          <w:szCs w:val="44"/>
        </w:rPr>
        <w:t>月份全市居民生活必需品价格分析</w:t>
      </w:r>
    </w:p>
    <w:p w14:paraId="2C49812E">
      <w:pPr>
        <w:rPr>
          <w:rFonts w:ascii="宋体" w:hAnsi="宋体"/>
          <w:sz w:val="36"/>
          <w:szCs w:val="36"/>
        </w:rPr>
      </w:pPr>
    </w:p>
    <w:p w14:paraId="2498F3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十二</w:t>
      </w:r>
      <w:r>
        <w:rPr>
          <w:rFonts w:hint="eastAsia" w:ascii="仿宋" w:hAnsi="仿宋" w:eastAsia="仿宋" w:cs="仿宋"/>
          <w:sz w:val="32"/>
          <w:szCs w:val="32"/>
        </w:rPr>
        <w:t>月份，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根据监测数据和市场巡查情况显示，</w:t>
      </w:r>
      <w:r>
        <w:rPr>
          <w:rFonts w:hint="eastAsia" w:ascii="仿宋" w:hAnsi="仿宋" w:eastAsia="仿宋" w:cs="仿宋"/>
          <w:sz w:val="32"/>
          <w:szCs w:val="32"/>
        </w:rPr>
        <w:t>全市居民生活必需品市场零售价格总体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呈</w:t>
      </w:r>
      <w:r>
        <w:rPr>
          <w:rFonts w:hint="eastAsia" w:ascii="仿宋" w:hAnsi="仿宋" w:eastAsia="仿宋" w:cs="仿宋"/>
          <w:sz w:val="32"/>
          <w:szCs w:val="32"/>
        </w:rPr>
        <w:t>平稳运行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走势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7CC153A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cs="宋体"/>
          <w:b/>
          <w:sz w:val="32"/>
          <w:szCs w:val="32"/>
          <w:lang w:eastAsia="zh-CN"/>
        </w:rPr>
        <w:t>猪肉价格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走势情况</w:t>
      </w:r>
    </w:p>
    <w:p w14:paraId="65377AE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sz w:val="32"/>
          <w:szCs w:val="32"/>
          <w:lang w:eastAsia="zh-CN"/>
        </w:rPr>
        <w:t>监测数据显示：</w:t>
      </w:r>
      <w:r>
        <w:rPr>
          <w:rFonts w:hint="eastAsia" w:ascii="宋体" w:hAnsi="宋体" w:cs="宋体"/>
          <w:b/>
          <w:sz w:val="32"/>
          <w:szCs w:val="32"/>
          <w:lang w:val="en-US" w:eastAsia="zh-CN"/>
        </w:rPr>
        <w:t>12月份</w:t>
      </w:r>
      <w:r>
        <w:rPr>
          <w:rFonts w:hint="eastAsia" w:ascii="宋体" w:hAnsi="宋体" w:eastAsia="宋体" w:cs="宋体"/>
          <w:b/>
          <w:sz w:val="32"/>
          <w:szCs w:val="32"/>
        </w:rPr>
        <w:t>生猪收购价格</w:t>
      </w:r>
      <w:r>
        <w:rPr>
          <w:rFonts w:hint="eastAsia" w:ascii="宋体" w:hAnsi="宋体" w:cs="宋体"/>
          <w:b/>
          <w:sz w:val="32"/>
          <w:szCs w:val="32"/>
          <w:lang w:eastAsia="zh-CN"/>
        </w:rPr>
        <w:t>环比</w:t>
      </w:r>
      <w:r>
        <w:rPr>
          <w:rFonts w:hint="eastAsia" w:ascii="宋体" w:hAnsi="宋体" w:cs="宋体"/>
          <w:b/>
          <w:bCs/>
          <w:sz w:val="32"/>
          <w:szCs w:val="32"/>
          <w:lang w:eastAsia="zh-CN"/>
        </w:rPr>
        <w:t>略有下降</w:t>
      </w:r>
      <w:r>
        <w:rPr>
          <w:rFonts w:hint="eastAsia" w:ascii="宋体" w:hAnsi="宋体" w:cs="宋体"/>
          <w:b/>
          <w:sz w:val="32"/>
          <w:szCs w:val="32"/>
          <w:lang w:eastAsia="zh-CN"/>
        </w:rPr>
        <w:t>，</w:t>
      </w:r>
      <w:r>
        <w:rPr>
          <w:rFonts w:hint="eastAsia" w:ascii="宋体" w:hAnsi="宋体" w:eastAsia="宋体" w:cs="宋体"/>
          <w:b/>
          <w:sz w:val="32"/>
          <w:szCs w:val="32"/>
        </w:rPr>
        <w:t>猪肉市场平均零售价格</w:t>
      </w:r>
      <w:r>
        <w:rPr>
          <w:rFonts w:hint="eastAsia" w:ascii="宋体" w:hAnsi="宋体" w:cs="宋体"/>
          <w:b/>
          <w:sz w:val="32"/>
          <w:szCs w:val="32"/>
          <w:lang w:eastAsia="zh-CN"/>
        </w:rPr>
        <w:t>环比小幅下降</w:t>
      </w:r>
      <w:r>
        <w:rPr>
          <w:rFonts w:hint="eastAsia" w:ascii="宋体" w:hAnsi="宋体" w:eastAsia="宋体" w:cs="宋体"/>
          <w:b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b/>
          <w:sz w:val="32"/>
          <w:szCs w:val="32"/>
        </w:rPr>
        <w:t>生猪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收购价格</w:t>
      </w:r>
      <w:r>
        <w:rPr>
          <w:rFonts w:hint="eastAsia" w:ascii="仿宋" w:hAnsi="仿宋" w:eastAsia="仿宋" w:cs="仿宋"/>
          <w:sz w:val="32"/>
          <w:szCs w:val="32"/>
        </w:rPr>
        <w:t>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 w:cs="仿宋"/>
          <w:sz w:val="32"/>
          <w:szCs w:val="32"/>
        </w:rPr>
        <w:t>月份，我市生猪收购价格运行在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88</w:t>
      </w:r>
      <w:r>
        <w:rPr>
          <w:rFonts w:hint="eastAsia" w:ascii="仿宋" w:hAnsi="仿宋" w:eastAsia="仿宋" w:cs="仿宋"/>
          <w:sz w:val="32"/>
          <w:szCs w:val="32"/>
        </w:rPr>
        <w:t>元/500克—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5.98</w:t>
      </w:r>
      <w:r>
        <w:rPr>
          <w:rFonts w:hint="eastAsia" w:ascii="仿宋" w:hAnsi="仿宋" w:eastAsia="仿宋" w:cs="仿宋"/>
          <w:sz w:val="32"/>
          <w:szCs w:val="32"/>
        </w:rPr>
        <w:t>元/500克区间，月平均收购价为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5.93</w:t>
      </w:r>
      <w:r>
        <w:rPr>
          <w:rFonts w:hint="eastAsia" w:ascii="仿宋" w:hAnsi="仿宋" w:eastAsia="仿宋" w:cs="仿宋"/>
          <w:sz w:val="32"/>
          <w:szCs w:val="32"/>
        </w:rPr>
        <w:t>元/500克，较上月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6.01</w:t>
      </w:r>
      <w:r>
        <w:rPr>
          <w:rFonts w:hint="eastAsia" w:ascii="仿宋" w:hAnsi="仿宋" w:eastAsia="仿宋" w:cs="仿宋"/>
          <w:sz w:val="32"/>
          <w:szCs w:val="32"/>
        </w:rPr>
        <w:t>元/500克环比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1.33</w:t>
      </w:r>
      <w:r>
        <w:rPr>
          <w:rFonts w:hint="eastAsia" w:ascii="仿宋" w:hAnsi="仿宋" w:eastAsia="仿宋" w:cs="仿宋"/>
          <w:sz w:val="32"/>
          <w:szCs w:val="32"/>
        </w:rPr>
        <w:t>%，与去年同期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7.82</w:t>
      </w:r>
      <w:r>
        <w:rPr>
          <w:rFonts w:hint="eastAsia" w:ascii="仿宋" w:hAnsi="仿宋" w:eastAsia="仿宋" w:cs="仿宋"/>
          <w:sz w:val="32"/>
          <w:szCs w:val="32"/>
        </w:rPr>
        <w:t>元/500克相比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24.17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%。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猪肉市场平均零售价格：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根据监测数</w:t>
      </w:r>
      <w:bookmarkStart w:id="1" w:name="_GoBack"/>
      <w:bookmarkEnd w:id="1"/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据显示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 w:cs="仿宋"/>
          <w:sz w:val="32"/>
          <w:szCs w:val="32"/>
        </w:rPr>
        <w:t>月份全市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猪肉</w:t>
      </w:r>
      <w:r>
        <w:rPr>
          <w:rFonts w:hint="eastAsia" w:ascii="仿宋" w:hAnsi="仿宋" w:eastAsia="仿宋" w:cs="仿宋"/>
          <w:sz w:val="32"/>
          <w:szCs w:val="32"/>
        </w:rPr>
        <w:t>市场统装肉、精瘦肉和排骨平均零售价格分别为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12.98</w:t>
      </w:r>
      <w:r>
        <w:rPr>
          <w:rFonts w:hint="eastAsia" w:ascii="仿宋" w:hAnsi="仿宋" w:eastAsia="仿宋" w:cs="仿宋"/>
          <w:sz w:val="32"/>
          <w:szCs w:val="32"/>
        </w:rPr>
        <w:t>元/500克、1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5.35</w:t>
      </w:r>
      <w:r>
        <w:rPr>
          <w:rFonts w:hint="eastAsia" w:ascii="仿宋" w:hAnsi="仿宋" w:eastAsia="仿宋" w:cs="仿宋"/>
          <w:sz w:val="32"/>
          <w:szCs w:val="32"/>
        </w:rPr>
        <w:t>元/500克和2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2.88</w:t>
      </w:r>
      <w:r>
        <w:rPr>
          <w:rFonts w:hint="eastAsia" w:ascii="仿宋" w:hAnsi="仿宋" w:eastAsia="仿宋" w:cs="仿宋"/>
          <w:sz w:val="32"/>
          <w:szCs w:val="32"/>
        </w:rPr>
        <w:t>元/500克，环比分别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0.54</w:t>
      </w:r>
      <w:r>
        <w:rPr>
          <w:rFonts w:hint="eastAsia" w:ascii="仿宋" w:hAnsi="仿宋" w:eastAsia="仿宋" w:cs="仿宋"/>
          <w:sz w:val="32"/>
          <w:szCs w:val="32"/>
        </w:rPr>
        <w:t>%、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1.41</w:t>
      </w:r>
      <w:r>
        <w:rPr>
          <w:rFonts w:hint="eastAsia" w:ascii="仿宋" w:hAnsi="仿宋" w:eastAsia="仿宋" w:cs="仿宋"/>
          <w:sz w:val="32"/>
          <w:szCs w:val="32"/>
        </w:rPr>
        <w:t>%和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2.47</w:t>
      </w:r>
      <w:r>
        <w:rPr>
          <w:rFonts w:hint="eastAsia" w:ascii="仿宋" w:hAnsi="仿宋" w:eastAsia="仿宋" w:cs="仿宋"/>
          <w:sz w:val="32"/>
          <w:szCs w:val="32"/>
        </w:rPr>
        <w:t>%，与去年同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期</w:t>
      </w:r>
      <w:r>
        <w:rPr>
          <w:rFonts w:hint="eastAsia" w:ascii="仿宋" w:hAnsi="仿宋" w:eastAsia="仿宋" w:cs="仿宋"/>
          <w:sz w:val="32"/>
          <w:szCs w:val="32"/>
        </w:rPr>
        <w:t>分别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14.55</w:t>
      </w:r>
      <w:r>
        <w:rPr>
          <w:rFonts w:hint="eastAsia" w:ascii="仿宋" w:hAnsi="仿宋" w:eastAsia="仿宋" w:cs="仿宋"/>
          <w:sz w:val="32"/>
          <w:szCs w:val="32"/>
        </w:rPr>
        <w:t>%、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13.08</w:t>
      </w:r>
      <w:r>
        <w:rPr>
          <w:rFonts w:hint="eastAsia" w:ascii="仿宋" w:hAnsi="仿宋" w:eastAsia="仿宋" w:cs="仿宋"/>
          <w:sz w:val="32"/>
          <w:szCs w:val="32"/>
        </w:rPr>
        <w:t>%和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13.07</w:t>
      </w:r>
      <w:r>
        <w:rPr>
          <w:rFonts w:hint="eastAsia" w:ascii="仿宋" w:hAnsi="仿宋" w:eastAsia="仿宋" w:cs="仿宋"/>
          <w:sz w:val="32"/>
          <w:szCs w:val="32"/>
        </w:rPr>
        <w:t>%。</w:t>
      </w:r>
    </w:p>
    <w:p w14:paraId="549E478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蔬菜</w:t>
      </w:r>
      <w:r>
        <w:rPr>
          <w:rFonts w:hint="eastAsia" w:ascii="宋体" w:hAnsi="宋体" w:cs="宋体"/>
          <w:b/>
          <w:sz w:val="32"/>
          <w:szCs w:val="32"/>
          <w:lang w:eastAsia="zh-CN"/>
        </w:rPr>
        <w:t>价格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走势情况</w:t>
      </w:r>
    </w:p>
    <w:p w14:paraId="0E63CA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宋体" w:hAnsi="宋体" w:cs="宋体"/>
          <w:b w:val="0"/>
          <w:bCs/>
          <w:sz w:val="32"/>
          <w:szCs w:val="32"/>
          <w:lang w:eastAsia="zh-CN"/>
        </w:rPr>
        <w:t>监测数据显示：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12月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份，</w:t>
      </w:r>
      <w:r>
        <w:rPr>
          <w:rFonts w:hint="eastAsia" w:ascii="仿宋" w:hAnsi="仿宋" w:eastAsia="仿宋" w:cs="仿宋"/>
          <w:sz w:val="32"/>
          <w:szCs w:val="32"/>
        </w:rPr>
        <w:t>列入我市监测目录的十五种蔬菜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价格</w:t>
      </w:r>
      <w:r>
        <w:rPr>
          <w:rFonts w:hint="eastAsia" w:ascii="仿宋" w:hAnsi="仿宋" w:eastAsia="仿宋" w:cs="仿宋"/>
          <w:sz w:val="32"/>
          <w:szCs w:val="32"/>
        </w:rPr>
        <w:t>环比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9涨6降，15种</w:t>
      </w:r>
      <w:r>
        <w:rPr>
          <w:rFonts w:hint="eastAsia" w:ascii="仿宋" w:hAnsi="仿宋" w:eastAsia="仿宋" w:cs="仿宋"/>
          <w:sz w:val="32"/>
          <w:szCs w:val="32"/>
        </w:rPr>
        <w:t>蔬菜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月</w:t>
      </w:r>
      <w:r>
        <w:rPr>
          <w:rFonts w:hint="eastAsia" w:ascii="仿宋" w:hAnsi="仿宋" w:eastAsia="仿宋" w:cs="仿宋"/>
          <w:sz w:val="32"/>
          <w:szCs w:val="32"/>
        </w:rPr>
        <w:t>平均零售价格为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3.35</w:t>
      </w:r>
      <w:r>
        <w:rPr>
          <w:rFonts w:hint="eastAsia" w:ascii="仿宋" w:hAnsi="仿宋" w:eastAsia="仿宋" w:cs="仿宋"/>
          <w:sz w:val="32"/>
          <w:szCs w:val="32"/>
        </w:rPr>
        <w:t>元/500克，环比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上涨4.69</w:t>
      </w:r>
      <w:r>
        <w:rPr>
          <w:rFonts w:hint="eastAsia" w:ascii="仿宋" w:hAnsi="仿宋" w:eastAsia="仿宋" w:cs="仿宋"/>
          <w:sz w:val="32"/>
          <w:szCs w:val="32"/>
        </w:rPr>
        <w:t>%，与去年同期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3.09</w:t>
      </w:r>
      <w:r>
        <w:rPr>
          <w:rFonts w:hint="eastAsia" w:ascii="仿宋" w:hAnsi="仿宋" w:eastAsia="仿宋" w:cs="仿宋"/>
          <w:sz w:val="32"/>
          <w:szCs w:val="32"/>
        </w:rPr>
        <w:t>元/500克相比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上涨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8.41</w:t>
      </w:r>
      <w:r>
        <w:rPr>
          <w:rFonts w:hint="eastAsia" w:ascii="仿宋" w:hAnsi="仿宋" w:eastAsia="仿宋" w:cs="仿宋"/>
          <w:sz w:val="32"/>
          <w:szCs w:val="32"/>
        </w:rPr>
        <w:t>%。环比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涨幅较大的有茄子和长豆角，分别上涨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15.23%和12.61%；</w:t>
      </w:r>
      <w:r>
        <w:rPr>
          <w:rFonts w:hint="eastAsia" w:ascii="仿宋" w:hAnsi="仿宋" w:eastAsia="仿宋" w:cs="仿宋"/>
          <w:sz w:val="32"/>
          <w:szCs w:val="32"/>
        </w:rPr>
        <w:t>环比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跌幅较大的有青菜和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</w:rPr>
        <w:t>辣椒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，分别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下降10.39%和1.64%。</w:t>
      </w:r>
    </w:p>
    <w:p w14:paraId="65F40B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三、</w:t>
      </w:r>
      <w:r>
        <w:rPr>
          <w:rFonts w:hint="eastAsia" w:ascii="仿宋" w:hAnsi="仿宋" w:eastAsia="仿宋" w:cs="仿宋"/>
          <w:b/>
          <w:sz w:val="32"/>
          <w:szCs w:val="32"/>
          <w:lang w:eastAsia="zh-CN"/>
        </w:rPr>
        <w:t>水果</w:t>
      </w:r>
      <w:r>
        <w:rPr>
          <w:rFonts w:hint="eastAsia" w:ascii="宋体" w:hAnsi="宋体" w:cs="宋体"/>
          <w:b/>
          <w:sz w:val="32"/>
          <w:szCs w:val="32"/>
          <w:lang w:eastAsia="zh-CN"/>
        </w:rPr>
        <w:t>价格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走势情况</w:t>
      </w:r>
    </w:p>
    <w:p w14:paraId="6AA916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月份，</w:t>
      </w:r>
      <w:r>
        <w:rPr>
          <w:rFonts w:hint="eastAsia" w:ascii="仿宋" w:hAnsi="仿宋" w:eastAsia="仿宋" w:cs="仿宋"/>
          <w:sz w:val="32"/>
          <w:szCs w:val="32"/>
        </w:rPr>
        <w:t>监测的国产香蕉月平均零售价格为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19</w:t>
      </w:r>
      <w:r>
        <w:rPr>
          <w:rFonts w:hint="eastAsia" w:ascii="仿宋" w:hAnsi="仿宋" w:eastAsia="仿宋" w:cs="仿宋"/>
          <w:sz w:val="32"/>
          <w:szCs w:val="32"/>
        </w:rPr>
        <w:t>元/500克,环比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上涨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6.33</w:t>
      </w:r>
      <w:r>
        <w:rPr>
          <w:rFonts w:hint="eastAsia" w:ascii="仿宋" w:hAnsi="仿宋" w:eastAsia="仿宋" w:cs="仿宋"/>
          <w:sz w:val="32"/>
          <w:szCs w:val="32"/>
        </w:rPr>
        <w:t>%,同比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6.73</w:t>
      </w:r>
      <w:r>
        <w:rPr>
          <w:rFonts w:hint="eastAsia" w:ascii="仿宋" w:hAnsi="仿宋" w:eastAsia="仿宋" w:cs="仿宋"/>
          <w:sz w:val="32"/>
          <w:szCs w:val="32"/>
        </w:rPr>
        <w:t>%；苹果月平均零售价格为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6.02</w:t>
      </w:r>
      <w:r>
        <w:rPr>
          <w:rFonts w:hint="eastAsia" w:ascii="仿宋" w:hAnsi="仿宋" w:eastAsia="仿宋" w:cs="仿宋"/>
          <w:sz w:val="32"/>
          <w:szCs w:val="32"/>
        </w:rPr>
        <w:t>元/500克，环比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1.31%</w:t>
      </w:r>
      <w:r>
        <w:rPr>
          <w:rFonts w:hint="eastAsia" w:ascii="仿宋" w:hAnsi="仿宋" w:eastAsia="仿宋" w:cs="仿宋"/>
          <w:sz w:val="32"/>
          <w:szCs w:val="32"/>
        </w:rPr>
        <w:t>，同比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上涨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7.31</w:t>
      </w:r>
      <w:r>
        <w:rPr>
          <w:rFonts w:hint="eastAsia" w:ascii="仿宋" w:hAnsi="仿宋" w:eastAsia="仿宋" w:cs="仿宋"/>
          <w:sz w:val="32"/>
          <w:szCs w:val="32"/>
        </w:rPr>
        <w:t>%；酥梨月平均零售价格为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元/500克，环比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3.13</w:t>
      </w:r>
      <w:r>
        <w:rPr>
          <w:rFonts w:hint="eastAsia" w:ascii="仿宋" w:hAnsi="仿宋" w:eastAsia="仿宋" w:cs="仿宋"/>
          <w:sz w:val="32"/>
          <w:szCs w:val="32"/>
        </w:rPr>
        <w:t>%，同比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1.31</w:t>
      </w:r>
      <w:r>
        <w:rPr>
          <w:rFonts w:hint="eastAsia" w:ascii="仿宋" w:hAnsi="仿宋" w:eastAsia="仿宋" w:cs="仿宋"/>
          <w:sz w:val="32"/>
          <w:szCs w:val="32"/>
        </w:rPr>
        <w:t>%。</w:t>
      </w:r>
    </w:p>
    <w:p w14:paraId="0C09CB0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  <w:lang w:eastAsia="zh-CN"/>
        </w:rPr>
        <w:t>四</w:t>
      </w:r>
      <w:r>
        <w:rPr>
          <w:rFonts w:hint="eastAsia" w:ascii="仿宋" w:hAnsi="仿宋" w:eastAsia="仿宋" w:cs="仿宋"/>
          <w:b/>
          <w:sz w:val="32"/>
          <w:szCs w:val="32"/>
        </w:rPr>
        <w:t>、鸡蛋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、</w:t>
      </w:r>
      <w:r>
        <w:rPr>
          <w:rFonts w:hint="eastAsia" w:ascii="仿宋" w:hAnsi="仿宋" w:eastAsia="仿宋" w:cs="仿宋"/>
          <w:b/>
          <w:sz w:val="32"/>
          <w:szCs w:val="32"/>
        </w:rPr>
        <w:t>白条禽</w:t>
      </w:r>
      <w:r>
        <w:rPr>
          <w:rFonts w:hint="eastAsia" w:ascii="仿宋" w:hAnsi="仿宋" w:eastAsia="仿宋" w:cs="仿宋"/>
          <w:b/>
          <w:sz w:val="32"/>
          <w:szCs w:val="32"/>
          <w:lang w:eastAsia="zh-CN"/>
        </w:rPr>
        <w:t>和水产品等</w:t>
      </w:r>
      <w:r>
        <w:rPr>
          <w:rFonts w:hint="eastAsia" w:ascii="仿宋" w:hAnsi="仿宋" w:eastAsia="仿宋" w:cs="仿宋"/>
          <w:b/>
          <w:sz w:val="32"/>
          <w:szCs w:val="32"/>
        </w:rPr>
        <w:t>价格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走势情况</w:t>
      </w:r>
    </w:p>
    <w:p w14:paraId="6935FA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宋体" w:hAnsi="宋体" w:cs="宋体"/>
          <w:b w:val="0"/>
          <w:bCs/>
          <w:sz w:val="32"/>
          <w:szCs w:val="32"/>
          <w:lang w:eastAsia="zh-CN"/>
        </w:rPr>
        <w:t>根据监测数据显示：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 w:cs="仿宋"/>
          <w:sz w:val="32"/>
          <w:szCs w:val="32"/>
        </w:rPr>
        <w:t>月份，市场鸡蛋月零售均价为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5.01</w:t>
      </w:r>
      <w:r>
        <w:rPr>
          <w:rFonts w:hint="eastAsia" w:ascii="仿宋" w:hAnsi="仿宋" w:eastAsia="仿宋" w:cs="仿宋"/>
          <w:sz w:val="32"/>
          <w:szCs w:val="32"/>
        </w:rPr>
        <w:t>元/500克，环比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上涨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0.60</w:t>
      </w:r>
      <w:r>
        <w:rPr>
          <w:rFonts w:hint="eastAsia" w:ascii="仿宋" w:hAnsi="仿宋" w:eastAsia="仿宋" w:cs="仿宋"/>
          <w:sz w:val="32"/>
          <w:szCs w:val="32"/>
        </w:rPr>
        <w:t>%，同比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11.33</w:t>
      </w:r>
      <w:r>
        <w:rPr>
          <w:rFonts w:hint="eastAsia" w:ascii="仿宋" w:hAnsi="仿宋" w:eastAsia="仿宋" w:cs="仿宋"/>
          <w:sz w:val="32"/>
          <w:szCs w:val="32"/>
        </w:rPr>
        <w:t>%。白条禽市场价格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环比小幅下降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监测的</w:t>
      </w:r>
      <w:r>
        <w:rPr>
          <w:rFonts w:hint="eastAsia" w:ascii="仿宋" w:hAnsi="仿宋" w:eastAsia="仿宋" w:cs="仿宋"/>
          <w:sz w:val="32"/>
          <w:szCs w:val="32"/>
        </w:rPr>
        <w:t>白条鸡和白条鸭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月平均</w:t>
      </w:r>
      <w:r>
        <w:rPr>
          <w:rFonts w:hint="eastAsia" w:ascii="仿宋" w:hAnsi="仿宋" w:eastAsia="仿宋" w:cs="仿宋"/>
          <w:sz w:val="32"/>
          <w:szCs w:val="32"/>
        </w:rPr>
        <w:t>零售价格分别为1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5.91</w:t>
      </w:r>
      <w:r>
        <w:rPr>
          <w:rFonts w:hint="eastAsia" w:ascii="仿宋" w:hAnsi="仿宋" w:eastAsia="仿宋" w:cs="仿宋"/>
          <w:sz w:val="32"/>
          <w:szCs w:val="32"/>
        </w:rPr>
        <w:t>元/500克和1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8.17</w:t>
      </w:r>
      <w:r>
        <w:rPr>
          <w:rFonts w:hint="eastAsia" w:ascii="仿宋" w:hAnsi="仿宋" w:eastAsia="仿宋" w:cs="仿宋"/>
          <w:sz w:val="32"/>
          <w:szCs w:val="32"/>
        </w:rPr>
        <w:t>元/500克，环比分别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下降1.61</w:t>
      </w:r>
      <w:r>
        <w:rPr>
          <w:rFonts w:hint="eastAsia" w:ascii="仿宋" w:hAnsi="仿宋" w:eastAsia="仿宋" w:cs="仿宋"/>
          <w:sz w:val="32"/>
          <w:szCs w:val="32"/>
        </w:rPr>
        <w:t>%</w:t>
      </w:r>
      <w:r>
        <w:rPr>
          <w:rFonts w:hint="eastAsia" w:ascii="仿宋" w:hAnsi="仿宋" w:eastAsia="仿宋" w:cs="仿宋"/>
          <w:bCs/>
          <w:sz w:val="32"/>
          <w:szCs w:val="32"/>
        </w:rPr>
        <w:t>和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0.55</w:t>
      </w:r>
      <w:r>
        <w:rPr>
          <w:rFonts w:hint="eastAsia" w:ascii="仿宋" w:hAnsi="仿宋" w:eastAsia="仿宋" w:cs="仿宋"/>
          <w:sz w:val="32"/>
          <w:szCs w:val="32"/>
        </w:rPr>
        <w:t>%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监测的淡水鲫鱼(300克左右)月平均零售价格为1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0.72</w:t>
      </w:r>
      <w:r>
        <w:rPr>
          <w:rFonts w:hint="eastAsia" w:ascii="仿宋" w:hAnsi="仿宋" w:eastAsia="仿宋" w:cs="仿宋"/>
          <w:sz w:val="32"/>
          <w:szCs w:val="32"/>
        </w:rPr>
        <w:t>元/500克,环比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3.86</w:t>
      </w:r>
      <w:r>
        <w:rPr>
          <w:rFonts w:hint="eastAsia" w:ascii="仿宋" w:hAnsi="仿宋" w:eastAsia="仿宋" w:cs="仿宋"/>
          <w:sz w:val="32"/>
          <w:szCs w:val="32"/>
        </w:rPr>
        <w:t>%，同比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0.65</w:t>
      </w:r>
      <w:r>
        <w:rPr>
          <w:rFonts w:hint="eastAsia" w:ascii="仿宋" w:hAnsi="仿宋" w:eastAsia="仿宋" w:cs="仿宋"/>
          <w:sz w:val="32"/>
          <w:szCs w:val="32"/>
        </w:rPr>
        <w:t>%；草鱼（750克左右）月平均零售价格为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7.87</w:t>
      </w:r>
      <w:r>
        <w:rPr>
          <w:rFonts w:hint="eastAsia" w:ascii="仿宋" w:hAnsi="仿宋" w:eastAsia="仿宋" w:cs="仿宋"/>
          <w:sz w:val="32"/>
          <w:szCs w:val="32"/>
        </w:rPr>
        <w:t>元/500克，环比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1.87</w:t>
      </w:r>
      <w:r>
        <w:rPr>
          <w:rFonts w:hint="eastAsia" w:ascii="仿宋" w:hAnsi="仿宋" w:eastAsia="仿宋" w:cs="仿宋"/>
          <w:sz w:val="32"/>
          <w:szCs w:val="32"/>
        </w:rPr>
        <w:t>%,同比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上涨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5.21</w:t>
      </w:r>
      <w:r>
        <w:rPr>
          <w:rFonts w:hint="eastAsia" w:ascii="仿宋" w:hAnsi="仿宋" w:eastAsia="仿宋" w:cs="仿宋"/>
          <w:sz w:val="32"/>
          <w:szCs w:val="32"/>
        </w:rPr>
        <w:t>%；监测的海产品带鱼(冰冻250克左右)月平均零售价格为1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07</w:t>
      </w:r>
      <w:r>
        <w:rPr>
          <w:rFonts w:hint="eastAsia" w:ascii="仿宋" w:hAnsi="仿宋" w:eastAsia="仿宋" w:cs="仿宋"/>
          <w:sz w:val="32"/>
          <w:szCs w:val="32"/>
        </w:rPr>
        <w:t>元/500克,环比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持平</w:t>
      </w:r>
      <w:r>
        <w:rPr>
          <w:rFonts w:hint="eastAsia" w:ascii="仿宋" w:hAnsi="仿宋" w:eastAsia="仿宋" w:cs="仿宋"/>
          <w:sz w:val="32"/>
          <w:szCs w:val="32"/>
        </w:rPr>
        <w:t>，同比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1.07</w:t>
      </w:r>
      <w:r>
        <w:rPr>
          <w:rFonts w:hint="eastAsia" w:ascii="仿宋" w:hAnsi="仿宋" w:eastAsia="仿宋" w:cs="仿宋"/>
          <w:sz w:val="32"/>
          <w:szCs w:val="32"/>
        </w:rPr>
        <w:t>%。</w:t>
      </w:r>
    </w:p>
    <w:p w14:paraId="4054A5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监测的羊肉(500 克左右)零售价格为 3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4.48</w:t>
      </w:r>
      <w:r>
        <w:rPr>
          <w:rFonts w:hint="eastAsia" w:ascii="仿宋" w:hAnsi="仿宋" w:eastAsia="仿宋" w:cs="仿宋"/>
          <w:sz w:val="32"/>
          <w:szCs w:val="32"/>
        </w:rPr>
        <w:t xml:space="preserve"> 元/500 克,环比上涨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3.79</w:t>
      </w:r>
      <w:r>
        <w:rPr>
          <w:rFonts w:hint="eastAsia" w:ascii="仿宋" w:hAnsi="仿宋" w:eastAsia="仿宋" w:cs="仿宋"/>
          <w:sz w:val="32"/>
          <w:szCs w:val="32"/>
        </w:rPr>
        <w:t>%，同比上涨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9.60</w:t>
      </w:r>
      <w:r>
        <w:rPr>
          <w:rFonts w:hint="eastAsia" w:ascii="仿宋" w:hAnsi="仿宋" w:eastAsia="仿宋" w:cs="仿宋"/>
          <w:sz w:val="32"/>
          <w:szCs w:val="32"/>
        </w:rPr>
        <w:t>%；牛肉（500 克左右 ）零售价格为 41.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61</w:t>
      </w:r>
      <w:r>
        <w:rPr>
          <w:rFonts w:hint="eastAsia" w:ascii="仿宋" w:hAnsi="仿宋" w:eastAsia="仿宋" w:cs="仿宋"/>
          <w:sz w:val="32"/>
          <w:szCs w:val="32"/>
        </w:rPr>
        <w:t>元/500 克， 环比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下降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0.43</w:t>
      </w:r>
      <w:r>
        <w:rPr>
          <w:rFonts w:hint="eastAsia" w:ascii="仿宋" w:hAnsi="仿宋" w:eastAsia="仿宋" w:cs="仿宋"/>
          <w:sz w:val="32"/>
          <w:szCs w:val="32"/>
        </w:rPr>
        <w:t xml:space="preserve">%,同比上涨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6.83</w:t>
      </w:r>
      <w:r>
        <w:rPr>
          <w:rFonts w:hint="eastAsia" w:ascii="仿宋" w:hAnsi="仿宋" w:eastAsia="仿宋" w:cs="仿宋"/>
          <w:sz w:val="32"/>
          <w:szCs w:val="32"/>
        </w:rPr>
        <w:t>%。</w:t>
      </w:r>
    </w:p>
    <w:p w14:paraId="4176F9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  <w:lang w:eastAsia="zh-CN"/>
        </w:rPr>
        <w:t>五</w:t>
      </w:r>
      <w:r>
        <w:rPr>
          <w:rFonts w:hint="eastAsia" w:ascii="仿宋" w:hAnsi="仿宋" w:eastAsia="仿宋" w:cs="仿宋"/>
          <w:b/>
          <w:sz w:val="32"/>
          <w:szCs w:val="32"/>
        </w:rPr>
        <w:t>、食用油</w:t>
      </w:r>
      <w:r>
        <w:rPr>
          <w:rFonts w:hint="eastAsia" w:ascii="仿宋" w:hAnsi="仿宋" w:eastAsia="仿宋" w:cs="仿宋"/>
          <w:b/>
          <w:sz w:val="32"/>
          <w:szCs w:val="32"/>
          <w:lang w:eastAsia="zh-CN"/>
        </w:rPr>
        <w:t>零售价格</w:t>
      </w:r>
      <w:r>
        <w:rPr>
          <w:rFonts w:hint="eastAsia" w:ascii="仿宋" w:hAnsi="仿宋" w:eastAsia="仿宋" w:cs="仿宋"/>
          <w:b/>
          <w:sz w:val="32"/>
          <w:szCs w:val="32"/>
        </w:rPr>
        <w:t>和大米市场零售价格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走势情况</w:t>
      </w:r>
    </w:p>
    <w:p w14:paraId="685B58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根据监测数据显示，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 w:cs="仿宋"/>
          <w:bCs/>
          <w:sz w:val="32"/>
          <w:szCs w:val="32"/>
        </w:rPr>
        <w:t>月份</w:t>
      </w:r>
      <w:r>
        <w:rPr>
          <w:rFonts w:hint="eastAsia" w:ascii="仿宋" w:hAnsi="仿宋" w:eastAsia="仿宋" w:cs="仿宋"/>
          <w:sz w:val="32"/>
          <w:szCs w:val="32"/>
        </w:rPr>
        <w:t>我市大型超市桶装食用油货源充足销售平稳。金龙鱼牌第二代调和油价格为79.90元/ 5L，环比持平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,同比</w:t>
      </w:r>
      <w:r>
        <w:rPr>
          <w:rFonts w:hint="eastAsia" w:ascii="仿宋" w:hAnsi="仿宋" w:eastAsia="仿宋" w:cs="仿宋"/>
          <w:sz w:val="32"/>
          <w:szCs w:val="32"/>
        </w:rPr>
        <w:t>持平。</w:t>
      </w:r>
      <w:r>
        <w:rPr>
          <w:rFonts w:hint="eastAsia" w:ascii="仿宋" w:hAnsi="仿宋" w:eastAsia="仿宋" w:cs="仿宋"/>
          <w:bCs/>
          <w:sz w:val="32"/>
          <w:szCs w:val="32"/>
        </w:rPr>
        <w:t>散装米及小包装大米货源充足，价格总体稳定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Cs/>
          <w:sz w:val="32"/>
          <w:szCs w:val="32"/>
        </w:rPr>
        <w:t>其中监测的本地散装晚籼米价格为2.64元/500克，环比持平，散装东北粳米价格为2.95元/500克，环比持平；当地皇阳牌小包装大米(10公斤)每袋74.00元, 环比持平。</w:t>
      </w:r>
    </w:p>
    <w:p w14:paraId="29EEF11D">
      <w:pPr>
        <w:keepNext w:val="0"/>
        <w:keepLines w:val="0"/>
        <w:pageBreakBefore w:val="0"/>
        <w:widowControl w:val="0"/>
        <w:tabs>
          <w:tab w:val="left" w:pos="5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textAlignment w:val="auto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  <w:lang w:eastAsia="zh-CN"/>
        </w:rPr>
        <w:t>六</w:t>
      </w:r>
      <w:r>
        <w:rPr>
          <w:rFonts w:hint="eastAsia" w:ascii="仿宋" w:hAnsi="仿宋" w:eastAsia="仿宋" w:cs="仿宋"/>
          <w:b/>
          <w:sz w:val="32"/>
          <w:szCs w:val="32"/>
        </w:rPr>
        <w:t>、</w:t>
      </w:r>
      <w:r>
        <w:rPr>
          <w:rFonts w:hint="eastAsia" w:ascii="仿宋" w:hAnsi="仿宋" w:eastAsia="仿宋" w:cs="仿宋"/>
          <w:b/>
          <w:sz w:val="32"/>
          <w:szCs w:val="32"/>
          <w:lang w:eastAsia="zh-CN"/>
        </w:rPr>
        <w:t>牛</w:t>
      </w:r>
      <w:r>
        <w:rPr>
          <w:rFonts w:hint="eastAsia" w:ascii="仿宋" w:hAnsi="仿宋" w:eastAsia="仿宋" w:cs="仿宋"/>
          <w:b/>
          <w:sz w:val="32"/>
          <w:szCs w:val="32"/>
        </w:rPr>
        <w:t>奶、盐和糖类等其它生活必需品价格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走势情况</w:t>
      </w:r>
    </w:p>
    <w:p w14:paraId="76E39879">
      <w:pPr>
        <w:keepNext w:val="0"/>
        <w:keepLines w:val="0"/>
        <w:pageBreakBefore w:val="0"/>
        <w:widowControl w:val="0"/>
        <w:tabs>
          <w:tab w:val="left" w:pos="5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食用盐月平均价格2.00元/500克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（袋）</w:t>
      </w:r>
      <w:r>
        <w:rPr>
          <w:rFonts w:hint="eastAsia" w:ascii="仿宋" w:hAnsi="仿宋" w:eastAsia="仿宋" w:cs="仿宋"/>
          <w:sz w:val="32"/>
          <w:szCs w:val="32"/>
        </w:rPr>
        <w:t>，红糖月平均价格6.38元/500克，环比同比持平。</w:t>
      </w:r>
    </w:p>
    <w:p w14:paraId="2AC1C210">
      <w:pPr>
        <w:keepNext w:val="0"/>
        <w:keepLines w:val="0"/>
        <w:pageBreakBefore w:val="0"/>
        <w:widowControl w:val="0"/>
        <w:tabs>
          <w:tab w:val="left" w:pos="5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当地主销牛奶价格平稳，纯牛奶普通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盒</w:t>
      </w:r>
      <w:r>
        <w:rPr>
          <w:rFonts w:hint="eastAsia" w:ascii="仿宋" w:hAnsi="仿宋" w:eastAsia="仿宋" w:cs="仿宋"/>
          <w:sz w:val="32"/>
          <w:szCs w:val="32"/>
        </w:rPr>
        <w:t xml:space="preserve">装2.80元/220ml（盒），环比同比持平。 </w:t>
      </w:r>
    </w:p>
    <w:p w14:paraId="150819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2AF61D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4D0B8C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480" w:firstLineChars="14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南昌市价格认定监测中心</w:t>
      </w:r>
    </w:p>
    <w:p w14:paraId="1FD9B4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806" w:firstLineChars="252"/>
        <w:jc w:val="center"/>
        <w:textAlignment w:val="auto"/>
        <w:rPr>
          <w:rFonts w:ascii="宋体" w:hAnsi="宋体" w:cs="宋体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 w14:paraId="1F1A955E">
      <w:pPr>
        <w:ind w:firstLine="1446" w:firstLineChars="400"/>
        <w:rPr>
          <w:rFonts w:hint="eastAsia" w:ascii="黑体" w:hAnsi="黑体" w:eastAsia="黑体" w:cs="黑体"/>
          <w:b/>
          <w:bCs/>
          <w:kern w:val="0"/>
          <w:sz w:val="36"/>
          <w:szCs w:val="36"/>
        </w:rPr>
      </w:pPr>
    </w:p>
    <w:p w14:paraId="01D17B74">
      <w:pPr>
        <w:ind w:firstLine="1446" w:firstLineChars="400"/>
        <w:rPr>
          <w:rFonts w:hint="eastAsia" w:ascii="仿宋" w:hAnsi="仿宋" w:eastAsia="仿宋" w:cs="仿宋"/>
          <w:b/>
          <w:bCs/>
          <w:kern w:val="0"/>
          <w:sz w:val="21"/>
          <w:szCs w:val="21"/>
        </w:rPr>
      </w:pPr>
      <w:r>
        <w:rPr>
          <w:rFonts w:hint="eastAsia" w:ascii="黑体" w:hAnsi="黑体" w:eastAsia="黑体" w:cs="黑体"/>
          <w:b/>
          <w:bCs/>
          <w:kern w:val="0"/>
          <w:sz w:val="36"/>
          <w:szCs w:val="36"/>
        </w:rPr>
        <w:t>南昌市居民生活必需品价格监测表</w:t>
      </w:r>
    </w:p>
    <w:p w14:paraId="5A7DA168">
      <w:pPr>
        <w:spacing w:line="440" w:lineRule="exact"/>
        <w:rPr>
          <w:rFonts w:hint="eastAsia" w:ascii="宋体" w:hAnsi="宋体" w:eastAsia="宋体" w:cs="宋体"/>
          <w:b/>
          <w:kern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</w:rPr>
        <w:t>统计单位：南昌市价格认定监测中心　　　　　　　　　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</w:rPr>
        <w:t>日期</w:t>
      </w:r>
      <w:r>
        <w:rPr>
          <w:rFonts w:hint="eastAsia" w:ascii="宋体" w:hAnsi="宋体" w:eastAsia="宋体" w:cs="宋体"/>
          <w:kern w:val="0"/>
          <w:sz w:val="21"/>
          <w:szCs w:val="21"/>
        </w:rPr>
        <w:t>：</w:t>
      </w:r>
      <w:r>
        <w:rPr>
          <w:rFonts w:hint="eastAsia" w:ascii="宋体" w:hAnsi="宋体" w:eastAsia="宋体" w:cs="宋体"/>
          <w:b/>
          <w:kern w:val="0"/>
          <w:sz w:val="21"/>
          <w:szCs w:val="21"/>
        </w:rPr>
        <w:t>202</w:t>
      </w:r>
      <w:r>
        <w:rPr>
          <w:rFonts w:hint="eastAsia" w:ascii="宋体" w:hAnsi="宋体" w:eastAsia="宋体" w:cs="宋体"/>
          <w:b/>
          <w:kern w:val="0"/>
          <w:sz w:val="21"/>
          <w:szCs w:val="21"/>
          <w:lang w:val="en-US" w:eastAsia="zh-CN"/>
        </w:rPr>
        <w:t>5</w:t>
      </w:r>
      <w:r>
        <w:rPr>
          <w:rFonts w:hint="eastAsia" w:ascii="宋体" w:hAnsi="宋体" w:eastAsia="宋体" w:cs="宋体"/>
          <w:b/>
          <w:kern w:val="0"/>
          <w:sz w:val="21"/>
          <w:szCs w:val="21"/>
        </w:rPr>
        <w:t>年</w:t>
      </w:r>
      <w:r>
        <w:rPr>
          <w:rFonts w:hint="eastAsia" w:ascii="宋体" w:hAnsi="宋体" w:eastAsia="宋体" w:cs="宋体"/>
          <w:b/>
          <w:kern w:val="0"/>
          <w:sz w:val="21"/>
          <w:szCs w:val="21"/>
          <w:lang w:val="en-US" w:eastAsia="zh-CN"/>
        </w:rPr>
        <w:t>1</w:t>
      </w:r>
      <w:r>
        <w:rPr>
          <w:rFonts w:hint="eastAsia" w:ascii="宋体" w:hAnsi="宋体" w:cs="宋体"/>
          <w:b/>
          <w:kern w:val="0"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 w:cs="宋体"/>
          <w:b/>
          <w:kern w:val="0"/>
          <w:sz w:val="21"/>
          <w:szCs w:val="21"/>
        </w:rPr>
        <w:t>月</w:t>
      </w:r>
    </w:p>
    <w:tbl>
      <w:tblPr>
        <w:tblStyle w:val="7"/>
        <w:tblW w:w="873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"/>
        <w:gridCol w:w="1083"/>
        <w:gridCol w:w="1842"/>
        <w:gridCol w:w="1221"/>
        <w:gridCol w:w="1276"/>
        <w:gridCol w:w="1466"/>
        <w:gridCol w:w="1369"/>
      </w:tblGrid>
      <w:tr w14:paraId="31EF50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480" w:type="dxa"/>
            <w:tcBorders>
              <w:top w:val="double" w:color="auto" w:sz="4" w:space="0"/>
              <w:left w:val="double" w:color="auto" w:sz="4" w:space="0"/>
              <w:bottom w:val="single" w:color="auto" w:sz="4" w:space="0"/>
            </w:tcBorders>
          </w:tcPr>
          <w:p w14:paraId="5C680B5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类别</w:t>
            </w:r>
          </w:p>
        </w:tc>
        <w:tc>
          <w:tcPr>
            <w:tcW w:w="1083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10418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产品名称</w:t>
            </w:r>
          </w:p>
        </w:tc>
        <w:tc>
          <w:tcPr>
            <w:tcW w:w="1842" w:type="dxa"/>
            <w:tcBorders>
              <w:top w:val="doub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E62CC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规格等级</w:t>
            </w:r>
          </w:p>
        </w:tc>
        <w:tc>
          <w:tcPr>
            <w:tcW w:w="1221" w:type="dxa"/>
            <w:tcBorders>
              <w:top w:val="doub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43014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计量单位</w:t>
            </w:r>
          </w:p>
        </w:tc>
        <w:tc>
          <w:tcPr>
            <w:tcW w:w="1276" w:type="dxa"/>
            <w:tcBorders>
              <w:top w:val="doub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7C68AF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  <w:lang w:val="en-US" w:eastAsia="zh-CN"/>
              </w:rPr>
              <w:t>12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  <w:t>月份</w:t>
            </w:r>
          </w:p>
          <w:p w14:paraId="222C9AC5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  <w:t xml:space="preserve">（平均价）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66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F67BF3">
            <w:pPr>
              <w:widowControl/>
              <w:ind w:firstLine="103" w:firstLineChars="49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  <w:t>与上月环比</w:t>
            </w:r>
          </w:p>
          <w:p w14:paraId="004B18AE">
            <w:pPr>
              <w:widowControl/>
              <w:ind w:firstLine="103" w:firstLineChars="49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  <w:t>（±%）</w:t>
            </w:r>
          </w:p>
        </w:tc>
        <w:tc>
          <w:tcPr>
            <w:tcW w:w="1369" w:type="dxa"/>
            <w:tcBorders>
              <w:top w:val="double" w:color="auto" w:sz="4" w:space="0"/>
              <w:left w:val="nil"/>
              <w:bottom w:val="single" w:color="auto" w:sz="4" w:space="0"/>
              <w:right w:val="double" w:color="auto" w:sz="4" w:space="0"/>
            </w:tcBorders>
            <w:vAlign w:val="center"/>
          </w:tcPr>
          <w:p w14:paraId="0F42A2C4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  <w:t>与去年同比</w:t>
            </w:r>
          </w:p>
          <w:p w14:paraId="4950BC46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  <w:t>（±%）</w:t>
            </w:r>
          </w:p>
        </w:tc>
      </w:tr>
      <w:tr w14:paraId="67588E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480" w:type="dxa"/>
            <w:vMerge w:val="restart"/>
            <w:tcBorders>
              <w:top w:val="double" w:color="auto" w:sz="4" w:space="0"/>
              <w:left w:val="double" w:color="auto" w:sz="4" w:space="0"/>
            </w:tcBorders>
          </w:tcPr>
          <w:p w14:paraId="01659943"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  <w:bookmarkStart w:id="0" w:name="OLE_LINK1" w:colFirst="4" w:colLast="4"/>
          </w:p>
          <w:p w14:paraId="13484C5C"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  <w:t>粮</w:t>
            </w:r>
          </w:p>
          <w:p w14:paraId="06462CA6"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  <w:t>油</w:t>
            </w:r>
          </w:p>
        </w:tc>
        <w:tc>
          <w:tcPr>
            <w:tcW w:w="1083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FFB93FC"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晚籼米</w:t>
            </w:r>
          </w:p>
        </w:tc>
        <w:tc>
          <w:tcPr>
            <w:tcW w:w="1842" w:type="dxa"/>
            <w:tcBorders>
              <w:top w:val="doub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198DCF9C">
            <w:pPr>
              <w:ind w:firstLine="632" w:firstLineChars="300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散  装</w:t>
            </w:r>
          </w:p>
        </w:tc>
        <w:tc>
          <w:tcPr>
            <w:tcW w:w="1221" w:type="dxa"/>
            <w:tcBorders>
              <w:top w:val="doub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14:paraId="0C76E83B"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元/500克</w:t>
            </w:r>
          </w:p>
        </w:tc>
        <w:tc>
          <w:tcPr>
            <w:tcW w:w="1276" w:type="dxa"/>
            <w:tcBorders>
              <w:top w:val="doub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C16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2.64 </w:t>
            </w:r>
          </w:p>
        </w:tc>
        <w:tc>
          <w:tcPr>
            <w:tcW w:w="1466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199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0.00%</w:t>
            </w:r>
          </w:p>
        </w:tc>
        <w:tc>
          <w:tcPr>
            <w:tcW w:w="1369" w:type="dxa"/>
            <w:tcBorders>
              <w:top w:val="double" w:color="auto" w:sz="4" w:space="0"/>
              <w:left w:val="nil"/>
              <w:bottom w:val="single" w:color="auto" w:sz="4" w:space="0"/>
              <w:right w:val="double" w:color="auto" w:sz="4" w:space="0"/>
            </w:tcBorders>
            <w:vAlign w:val="center"/>
          </w:tcPr>
          <w:p w14:paraId="5ACF8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0.00%</w:t>
            </w:r>
          </w:p>
        </w:tc>
      </w:tr>
      <w:tr w14:paraId="5D9EF2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480" w:type="dxa"/>
            <w:vMerge w:val="continue"/>
            <w:tcBorders>
              <w:left w:val="double" w:color="auto" w:sz="4" w:space="0"/>
            </w:tcBorders>
          </w:tcPr>
          <w:p w14:paraId="6E68E29A"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B0C3BF"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粳米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8D8E890">
            <w:pPr>
              <w:ind w:firstLine="632" w:firstLineChars="300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散  装</w:t>
            </w:r>
          </w:p>
        </w:tc>
        <w:tc>
          <w:tcPr>
            <w:tcW w:w="12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6523BD2"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元/500克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54A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2.95 </w:t>
            </w: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6C1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0.00%</w:t>
            </w:r>
          </w:p>
        </w:tc>
        <w:tc>
          <w:tcPr>
            <w:tcW w:w="1369" w:type="dxa"/>
            <w:tcBorders>
              <w:top w:val="single" w:color="auto" w:sz="4" w:space="0"/>
              <w:left w:val="nil"/>
              <w:bottom w:val="single" w:color="auto" w:sz="4" w:space="0"/>
              <w:right w:val="double" w:color="auto" w:sz="4" w:space="0"/>
            </w:tcBorders>
            <w:noWrap/>
            <w:vAlign w:val="center"/>
          </w:tcPr>
          <w:p w14:paraId="14D20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0.00%</w:t>
            </w:r>
          </w:p>
        </w:tc>
      </w:tr>
      <w:tr w14:paraId="7CCD69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480" w:type="dxa"/>
            <w:vMerge w:val="continue"/>
            <w:tcBorders>
              <w:left w:val="double" w:color="auto" w:sz="4" w:space="0"/>
              <w:bottom w:val="thickThinLargeGap" w:color="auto" w:sz="24" w:space="0"/>
            </w:tcBorders>
          </w:tcPr>
          <w:p w14:paraId="69C34716"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thickThinLargeGap" w:color="auto" w:sz="24" w:space="0"/>
              <w:right w:val="single" w:color="auto" w:sz="4" w:space="0"/>
            </w:tcBorders>
          </w:tcPr>
          <w:p w14:paraId="3E0D39D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调和油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thickThinLargeGap" w:color="auto" w:sz="24" w:space="0"/>
              <w:right w:val="single" w:color="auto" w:sz="4" w:space="0"/>
            </w:tcBorders>
          </w:tcPr>
          <w:p w14:paraId="42EC1FC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金龙鱼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桶装</w:t>
            </w:r>
          </w:p>
        </w:tc>
        <w:tc>
          <w:tcPr>
            <w:tcW w:w="1221" w:type="dxa"/>
            <w:tcBorders>
              <w:top w:val="single" w:color="auto" w:sz="4" w:space="0"/>
              <w:left w:val="nil"/>
              <w:bottom w:val="thickThinLargeGap" w:color="auto" w:sz="24" w:space="0"/>
              <w:right w:val="single" w:color="auto" w:sz="4" w:space="0"/>
            </w:tcBorders>
          </w:tcPr>
          <w:p w14:paraId="6CA8ACE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元/5升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thickThinLargeGap" w:color="auto" w:sz="24" w:space="0"/>
              <w:right w:val="single" w:color="auto" w:sz="4" w:space="0"/>
            </w:tcBorders>
            <w:vAlign w:val="center"/>
          </w:tcPr>
          <w:p w14:paraId="32CAB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79.90 </w:t>
            </w: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thickThinLargeGap" w:color="auto" w:sz="24" w:space="0"/>
              <w:right w:val="single" w:color="auto" w:sz="4" w:space="0"/>
            </w:tcBorders>
            <w:vAlign w:val="center"/>
          </w:tcPr>
          <w:p w14:paraId="41C90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0.00%</w:t>
            </w:r>
          </w:p>
        </w:tc>
        <w:tc>
          <w:tcPr>
            <w:tcW w:w="1369" w:type="dxa"/>
            <w:tcBorders>
              <w:top w:val="single" w:color="auto" w:sz="4" w:space="0"/>
              <w:left w:val="nil"/>
              <w:bottom w:val="thickThinLargeGap" w:color="auto" w:sz="24" w:space="0"/>
              <w:right w:val="double" w:color="auto" w:sz="4" w:space="0"/>
            </w:tcBorders>
            <w:noWrap/>
            <w:vAlign w:val="center"/>
          </w:tcPr>
          <w:p w14:paraId="41639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0.00%</w:t>
            </w:r>
          </w:p>
        </w:tc>
      </w:tr>
      <w:tr w14:paraId="59476C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  <w:jc w:val="center"/>
        </w:trPr>
        <w:tc>
          <w:tcPr>
            <w:tcW w:w="480" w:type="dxa"/>
            <w:vMerge w:val="restart"/>
            <w:tcBorders>
              <w:top w:val="thickThinLargeGap" w:color="auto" w:sz="24" w:space="0"/>
              <w:left w:val="double" w:color="auto" w:sz="4" w:space="0"/>
            </w:tcBorders>
          </w:tcPr>
          <w:p w14:paraId="0A63EF20">
            <w:pPr>
              <w:widowControl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  <w:t>肉</w:t>
            </w:r>
          </w:p>
          <w:p w14:paraId="5DF5B65F"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</w:p>
          <w:p w14:paraId="14448250"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  <w:t>类</w:t>
            </w:r>
          </w:p>
        </w:tc>
        <w:tc>
          <w:tcPr>
            <w:tcW w:w="1083" w:type="dxa"/>
            <w:vMerge w:val="restart"/>
            <w:tcBorders>
              <w:top w:val="thickThinLargeGap" w:color="auto" w:sz="24" w:space="0"/>
              <w:left w:val="single" w:color="auto" w:sz="4" w:space="0"/>
              <w:right w:val="single" w:color="auto" w:sz="4" w:space="0"/>
            </w:tcBorders>
          </w:tcPr>
          <w:p w14:paraId="13A455F4"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</w:p>
          <w:p w14:paraId="6C97F2DF"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鲜猪肉</w:t>
            </w:r>
          </w:p>
        </w:tc>
        <w:tc>
          <w:tcPr>
            <w:tcW w:w="1842" w:type="dxa"/>
            <w:tcBorders>
              <w:top w:val="thickThinLargeGap" w:color="auto" w:sz="2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918EE9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统装肉</w:t>
            </w:r>
          </w:p>
        </w:tc>
        <w:tc>
          <w:tcPr>
            <w:tcW w:w="1221" w:type="dxa"/>
            <w:tcBorders>
              <w:top w:val="thickThinLargeGap" w:color="auto" w:sz="2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F95825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元/500克</w:t>
            </w:r>
          </w:p>
        </w:tc>
        <w:tc>
          <w:tcPr>
            <w:tcW w:w="1276" w:type="dxa"/>
            <w:tcBorders>
              <w:top w:val="thickThinLargeGap" w:color="auto" w:sz="2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4BD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12.98 </w:t>
            </w:r>
          </w:p>
        </w:tc>
        <w:tc>
          <w:tcPr>
            <w:tcW w:w="1466" w:type="dxa"/>
            <w:tcBorders>
              <w:top w:val="thickThinLargeGap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395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-0.54%</w:t>
            </w:r>
          </w:p>
        </w:tc>
        <w:tc>
          <w:tcPr>
            <w:tcW w:w="1369" w:type="dxa"/>
            <w:tcBorders>
              <w:top w:val="thickThinLargeGap" w:color="auto" w:sz="24" w:space="0"/>
              <w:left w:val="nil"/>
              <w:bottom w:val="single" w:color="auto" w:sz="4" w:space="0"/>
              <w:right w:val="double" w:color="auto" w:sz="4" w:space="0"/>
            </w:tcBorders>
            <w:noWrap/>
            <w:vAlign w:val="center"/>
          </w:tcPr>
          <w:p w14:paraId="7C00E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-14.55%</w:t>
            </w:r>
          </w:p>
        </w:tc>
      </w:tr>
      <w:tr w14:paraId="1F2160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" w:hRule="atLeast"/>
          <w:jc w:val="center"/>
        </w:trPr>
        <w:tc>
          <w:tcPr>
            <w:tcW w:w="480" w:type="dxa"/>
            <w:vMerge w:val="continue"/>
            <w:tcBorders>
              <w:left w:val="double" w:color="auto" w:sz="4" w:space="0"/>
            </w:tcBorders>
          </w:tcPr>
          <w:p w14:paraId="789894DE"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1083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096F0D7">
            <w:pPr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ECF7C6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精瘦肉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3D65D0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元/500克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7D0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15.35 </w:t>
            </w:r>
          </w:p>
        </w:tc>
        <w:tc>
          <w:tcPr>
            <w:tcW w:w="14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9E7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-1.41%</w:t>
            </w:r>
          </w:p>
        </w:tc>
        <w:tc>
          <w:tcPr>
            <w:tcW w:w="1369" w:type="dxa"/>
            <w:tcBorders>
              <w:top w:val="nil"/>
              <w:left w:val="nil"/>
              <w:bottom w:val="single" w:color="auto" w:sz="4" w:space="0"/>
              <w:right w:val="double" w:color="auto" w:sz="4" w:space="0"/>
            </w:tcBorders>
            <w:noWrap/>
            <w:vAlign w:val="center"/>
          </w:tcPr>
          <w:p w14:paraId="55665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-13.08%</w:t>
            </w:r>
          </w:p>
        </w:tc>
      </w:tr>
      <w:tr w14:paraId="3E50A7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" w:hRule="atLeast"/>
          <w:jc w:val="center"/>
        </w:trPr>
        <w:tc>
          <w:tcPr>
            <w:tcW w:w="480" w:type="dxa"/>
            <w:vMerge w:val="continue"/>
            <w:tcBorders>
              <w:left w:val="double" w:color="auto" w:sz="4" w:space="0"/>
            </w:tcBorders>
          </w:tcPr>
          <w:p w14:paraId="0007D335"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108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645D5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0604FB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排骨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F6F278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元/500克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773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22.88 </w:t>
            </w:r>
          </w:p>
        </w:tc>
        <w:tc>
          <w:tcPr>
            <w:tcW w:w="14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44D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-2.47%</w:t>
            </w:r>
          </w:p>
        </w:tc>
        <w:tc>
          <w:tcPr>
            <w:tcW w:w="1369" w:type="dxa"/>
            <w:tcBorders>
              <w:top w:val="nil"/>
              <w:left w:val="nil"/>
              <w:bottom w:val="single" w:color="auto" w:sz="4" w:space="0"/>
              <w:right w:val="double" w:color="auto" w:sz="4" w:space="0"/>
            </w:tcBorders>
            <w:noWrap/>
            <w:vAlign w:val="center"/>
          </w:tcPr>
          <w:p w14:paraId="13AC3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-13.07%</w:t>
            </w:r>
          </w:p>
        </w:tc>
      </w:tr>
      <w:tr w14:paraId="311BD3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" w:hRule="atLeast"/>
          <w:jc w:val="center"/>
        </w:trPr>
        <w:tc>
          <w:tcPr>
            <w:tcW w:w="480" w:type="dxa"/>
            <w:vMerge w:val="continue"/>
            <w:tcBorders>
              <w:left w:val="double" w:color="auto" w:sz="4" w:space="0"/>
            </w:tcBorders>
          </w:tcPr>
          <w:p w14:paraId="2D70D238"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108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1B188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</w:rPr>
              <w:t>羊肉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8CB17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</w:rPr>
              <w:t>新鲜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D806E2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元/500克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66D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34.48</w:t>
            </w:r>
          </w:p>
        </w:tc>
        <w:tc>
          <w:tcPr>
            <w:tcW w:w="14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1B3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3.79%</w:t>
            </w:r>
          </w:p>
        </w:tc>
        <w:tc>
          <w:tcPr>
            <w:tcW w:w="1369" w:type="dxa"/>
            <w:tcBorders>
              <w:top w:val="nil"/>
              <w:left w:val="nil"/>
              <w:bottom w:val="single" w:color="auto" w:sz="4" w:space="0"/>
              <w:right w:val="double" w:color="auto" w:sz="4" w:space="0"/>
            </w:tcBorders>
            <w:shd w:val="clear" w:color="auto" w:fill="auto"/>
            <w:noWrap/>
            <w:vAlign w:val="center"/>
          </w:tcPr>
          <w:p w14:paraId="723B3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9.60%</w:t>
            </w:r>
          </w:p>
        </w:tc>
      </w:tr>
      <w:tr w14:paraId="3DE2E6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80" w:type="dxa"/>
            <w:vMerge w:val="continue"/>
            <w:tcBorders>
              <w:left w:val="double" w:color="auto" w:sz="4" w:space="0"/>
              <w:bottom w:val="thickThinLargeGap" w:color="auto" w:sz="24" w:space="0"/>
            </w:tcBorders>
          </w:tcPr>
          <w:p w14:paraId="2354539E"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1083" w:type="dxa"/>
            <w:tcBorders>
              <w:top w:val="nil"/>
              <w:left w:val="single" w:color="auto" w:sz="4" w:space="0"/>
              <w:bottom w:val="thickThinLargeGap" w:color="auto" w:sz="24" w:space="0"/>
              <w:right w:val="single" w:color="auto" w:sz="4" w:space="0"/>
            </w:tcBorders>
          </w:tcPr>
          <w:p w14:paraId="1211D57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鲜牛肉</w:t>
            </w:r>
          </w:p>
        </w:tc>
        <w:tc>
          <w:tcPr>
            <w:tcW w:w="1842" w:type="dxa"/>
            <w:tcBorders>
              <w:top w:val="nil"/>
              <w:left w:val="nil"/>
              <w:bottom w:val="thickThinLargeGap" w:color="auto" w:sz="24" w:space="0"/>
              <w:right w:val="single" w:color="auto" w:sz="4" w:space="0"/>
            </w:tcBorders>
          </w:tcPr>
          <w:p w14:paraId="1F83F80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新鲜去骨</w:t>
            </w:r>
          </w:p>
        </w:tc>
        <w:tc>
          <w:tcPr>
            <w:tcW w:w="1221" w:type="dxa"/>
            <w:tcBorders>
              <w:top w:val="nil"/>
              <w:left w:val="nil"/>
              <w:bottom w:val="thickThinLargeGap" w:color="auto" w:sz="24" w:space="0"/>
              <w:right w:val="single" w:color="auto" w:sz="4" w:space="0"/>
            </w:tcBorders>
          </w:tcPr>
          <w:p w14:paraId="7321E76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元/500克</w:t>
            </w:r>
          </w:p>
        </w:tc>
        <w:tc>
          <w:tcPr>
            <w:tcW w:w="1276" w:type="dxa"/>
            <w:tcBorders>
              <w:top w:val="nil"/>
              <w:left w:val="nil"/>
              <w:bottom w:val="thickThinLargeGap" w:color="auto" w:sz="24" w:space="0"/>
              <w:right w:val="single" w:color="auto" w:sz="4" w:space="0"/>
            </w:tcBorders>
            <w:vAlign w:val="center"/>
          </w:tcPr>
          <w:p w14:paraId="36069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41.61 </w:t>
            </w:r>
          </w:p>
        </w:tc>
        <w:tc>
          <w:tcPr>
            <w:tcW w:w="1466" w:type="dxa"/>
            <w:tcBorders>
              <w:top w:val="nil"/>
              <w:left w:val="single" w:color="auto" w:sz="4" w:space="0"/>
              <w:bottom w:val="thickThinLargeGap" w:color="auto" w:sz="24" w:space="0"/>
              <w:right w:val="single" w:color="auto" w:sz="4" w:space="0"/>
            </w:tcBorders>
            <w:vAlign w:val="center"/>
          </w:tcPr>
          <w:p w14:paraId="0711A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-0.43%</w:t>
            </w:r>
          </w:p>
        </w:tc>
        <w:tc>
          <w:tcPr>
            <w:tcW w:w="1369" w:type="dxa"/>
            <w:tcBorders>
              <w:top w:val="nil"/>
              <w:left w:val="nil"/>
              <w:bottom w:val="thickThinLargeGap" w:color="auto" w:sz="24" w:space="0"/>
              <w:right w:val="double" w:color="auto" w:sz="4" w:space="0"/>
            </w:tcBorders>
            <w:noWrap/>
            <w:vAlign w:val="center"/>
          </w:tcPr>
          <w:p w14:paraId="0E484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6.83%</w:t>
            </w:r>
          </w:p>
        </w:tc>
      </w:tr>
      <w:tr w14:paraId="33B4CF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80" w:type="dxa"/>
            <w:vMerge w:val="restart"/>
            <w:tcBorders>
              <w:top w:val="thickThinLargeGap" w:color="auto" w:sz="24" w:space="0"/>
              <w:left w:val="double" w:color="auto" w:sz="4" w:space="0"/>
            </w:tcBorders>
          </w:tcPr>
          <w:p w14:paraId="7A225785"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  <w:t>禽蛋类</w:t>
            </w:r>
          </w:p>
        </w:tc>
        <w:tc>
          <w:tcPr>
            <w:tcW w:w="1083" w:type="dxa"/>
            <w:tcBorders>
              <w:top w:val="thickThinLargeGap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4F823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老鸭</w:t>
            </w:r>
          </w:p>
        </w:tc>
        <w:tc>
          <w:tcPr>
            <w:tcW w:w="1842" w:type="dxa"/>
            <w:tcBorders>
              <w:top w:val="thickThinLargeGap" w:color="auto" w:sz="2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85FB1B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新鲜白条</w:t>
            </w:r>
          </w:p>
        </w:tc>
        <w:tc>
          <w:tcPr>
            <w:tcW w:w="1221" w:type="dxa"/>
            <w:tcBorders>
              <w:top w:val="thickThinLargeGap" w:color="auto" w:sz="2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3DF203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元/500克</w:t>
            </w:r>
          </w:p>
        </w:tc>
        <w:tc>
          <w:tcPr>
            <w:tcW w:w="1276" w:type="dxa"/>
            <w:tcBorders>
              <w:top w:val="thickThinLargeGap" w:color="auto" w:sz="2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72B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18.17 </w:t>
            </w:r>
          </w:p>
        </w:tc>
        <w:tc>
          <w:tcPr>
            <w:tcW w:w="1466" w:type="dxa"/>
            <w:tcBorders>
              <w:top w:val="thickThinLargeGap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E2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-0.55%</w:t>
            </w:r>
          </w:p>
        </w:tc>
        <w:tc>
          <w:tcPr>
            <w:tcW w:w="1369" w:type="dxa"/>
            <w:tcBorders>
              <w:top w:val="thickThinLargeGap" w:color="auto" w:sz="24" w:space="0"/>
              <w:left w:val="nil"/>
              <w:bottom w:val="single" w:color="auto" w:sz="4" w:space="0"/>
              <w:right w:val="double" w:color="auto" w:sz="4" w:space="0"/>
            </w:tcBorders>
            <w:noWrap/>
            <w:vAlign w:val="center"/>
          </w:tcPr>
          <w:p w14:paraId="7C815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-3.76%</w:t>
            </w:r>
          </w:p>
        </w:tc>
      </w:tr>
      <w:tr w14:paraId="167991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480" w:type="dxa"/>
            <w:vMerge w:val="continue"/>
            <w:tcBorders>
              <w:left w:val="double" w:color="auto" w:sz="4" w:space="0"/>
            </w:tcBorders>
          </w:tcPr>
          <w:p w14:paraId="197BD625"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10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30EC3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土鸡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27287D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新鲜白条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234FF4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元/500克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39B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15.91 </w:t>
            </w:r>
          </w:p>
        </w:tc>
        <w:tc>
          <w:tcPr>
            <w:tcW w:w="14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D8F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-1.61%</w:t>
            </w:r>
          </w:p>
        </w:tc>
        <w:tc>
          <w:tcPr>
            <w:tcW w:w="1369" w:type="dxa"/>
            <w:tcBorders>
              <w:top w:val="nil"/>
              <w:left w:val="nil"/>
              <w:bottom w:val="single" w:color="auto" w:sz="4" w:space="0"/>
              <w:right w:val="double" w:color="auto" w:sz="4" w:space="0"/>
            </w:tcBorders>
            <w:noWrap/>
            <w:vAlign w:val="center"/>
          </w:tcPr>
          <w:p w14:paraId="30E4E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-4.44%</w:t>
            </w:r>
          </w:p>
        </w:tc>
      </w:tr>
      <w:tr w14:paraId="6903D9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80" w:type="dxa"/>
            <w:vMerge w:val="continue"/>
            <w:tcBorders>
              <w:left w:val="double" w:color="auto" w:sz="4" w:space="0"/>
              <w:bottom w:val="thickThinLargeGap" w:color="auto" w:sz="24" w:space="0"/>
            </w:tcBorders>
          </w:tcPr>
          <w:p w14:paraId="14EED7E2"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1083" w:type="dxa"/>
            <w:tcBorders>
              <w:top w:val="nil"/>
              <w:left w:val="single" w:color="auto" w:sz="4" w:space="0"/>
              <w:bottom w:val="thickThinLargeGap" w:color="auto" w:sz="24" w:space="0"/>
              <w:right w:val="single" w:color="auto" w:sz="4" w:space="0"/>
            </w:tcBorders>
          </w:tcPr>
          <w:p w14:paraId="27DD74E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鸡蛋</w:t>
            </w:r>
          </w:p>
        </w:tc>
        <w:tc>
          <w:tcPr>
            <w:tcW w:w="1842" w:type="dxa"/>
            <w:tcBorders>
              <w:top w:val="nil"/>
              <w:left w:val="nil"/>
              <w:bottom w:val="thickThinLargeGap" w:color="auto" w:sz="24" w:space="0"/>
              <w:right w:val="single" w:color="auto" w:sz="4" w:space="0"/>
            </w:tcBorders>
          </w:tcPr>
          <w:p w14:paraId="1BCBD87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新鲜完整</w:t>
            </w:r>
          </w:p>
        </w:tc>
        <w:tc>
          <w:tcPr>
            <w:tcW w:w="1221" w:type="dxa"/>
            <w:tcBorders>
              <w:top w:val="nil"/>
              <w:left w:val="nil"/>
              <w:bottom w:val="thickThinLargeGap" w:color="auto" w:sz="24" w:space="0"/>
              <w:right w:val="single" w:color="auto" w:sz="4" w:space="0"/>
            </w:tcBorders>
          </w:tcPr>
          <w:p w14:paraId="3CB64E9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元/500克</w:t>
            </w:r>
          </w:p>
        </w:tc>
        <w:tc>
          <w:tcPr>
            <w:tcW w:w="1276" w:type="dxa"/>
            <w:tcBorders>
              <w:top w:val="nil"/>
              <w:left w:val="nil"/>
              <w:bottom w:val="thickThinLargeGap" w:color="auto" w:sz="24" w:space="0"/>
              <w:right w:val="single" w:color="auto" w:sz="4" w:space="0"/>
            </w:tcBorders>
            <w:vAlign w:val="center"/>
          </w:tcPr>
          <w:p w14:paraId="2FA90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5.01 </w:t>
            </w:r>
          </w:p>
        </w:tc>
        <w:tc>
          <w:tcPr>
            <w:tcW w:w="1466" w:type="dxa"/>
            <w:tcBorders>
              <w:top w:val="nil"/>
              <w:left w:val="single" w:color="auto" w:sz="4" w:space="0"/>
              <w:bottom w:val="thickThinLargeGap" w:color="auto" w:sz="24" w:space="0"/>
              <w:right w:val="single" w:color="auto" w:sz="4" w:space="0"/>
            </w:tcBorders>
            <w:vAlign w:val="center"/>
          </w:tcPr>
          <w:p w14:paraId="4CE8B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0.60%</w:t>
            </w:r>
          </w:p>
        </w:tc>
        <w:tc>
          <w:tcPr>
            <w:tcW w:w="1369" w:type="dxa"/>
            <w:tcBorders>
              <w:top w:val="nil"/>
              <w:left w:val="nil"/>
              <w:bottom w:val="thickThinLargeGap" w:color="auto" w:sz="24" w:space="0"/>
              <w:right w:val="double" w:color="auto" w:sz="4" w:space="0"/>
            </w:tcBorders>
            <w:noWrap/>
            <w:vAlign w:val="center"/>
          </w:tcPr>
          <w:p w14:paraId="048E2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-11.33%</w:t>
            </w:r>
          </w:p>
        </w:tc>
      </w:tr>
      <w:tr w14:paraId="369D03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80" w:type="dxa"/>
            <w:vMerge w:val="restart"/>
            <w:tcBorders>
              <w:top w:val="thickThinLargeGap" w:color="auto" w:sz="24" w:space="0"/>
              <w:left w:val="double" w:color="auto" w:sz="4" w:space="0"/>
            </w:tcBorders>
          </w:tcPr>
          <w:p w14:paraId="1F898059"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  <w:t>水产品</w:t>
            </w:r>
          </w:p>
        </w:tc>
        <w:tc>
          <w:tcPr>
            <w:tcW w:w="1083" w:type="dxa"/>
            <w:tcBorders>
              <w:top w:val="thickThinLargeGap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EBD67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草鱼</w:t>
            </w:r>
          </w:p>
        </w:tc>
        <w:tc>
          <w:tcPr>
            <w:tcW w:w="1842" w:type="dxa"/>
            <w:tcBorders>
              <w:top w:val="thickThinLargeGap" w:color="auto" w:sz="2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36B993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活750克左右</w:t>
            </w:r>
          </w:p>
        </w:tc>
        <w:tc>
          <w:tcPr>
            <w:tcW w:w="1221" w:type="dxa"/>
            <w:tcBorders>
              <w:top w:val="thickThinLargeGap" w:color="auto" w:sz="2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60E0D9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元/500克</w:t>
            </w:r>
          </w:p>
        </w:tc>
        <w:tc>
          <w:tcPr>
            <w:tcW w:w="1276" w:type="dxa"/>
            <w:tcBorders>
              <w:top w:val="thickThinLargeGap" w:color="auto" w:sz="2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EB3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7.87 </w:t>
            </w:r>
          </w:p>
        </w:tc>
        <w:tc>
          <w:tcPr>
            <w:tcW w:w="1466" w:type="dxa"/>
            <w:tcBorders>
              <w:top w:val="thickThinLargeGap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F68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-1.87%</w:t>
            </w:r>
          </w:p>
        </w:tc>
        <w:tc>
          <w:tcPr>
            <w:tcW w:w="1369" w:type="dxa"/>
            <w:tcBorders>
              <w:top w:val="thickThinLargeGap" w:color="auto" w:sz="24" w:space="0"/>
              <w:left w:val="nil"/>
              <w:bottom w:val="single" w:color="auto" w:sz="4" w:space="0"/>
              <w:right w:val="double" w:color="auto" w:sz="4" w:space="0"/>
            </w:tcBorders>
            <w:noWrap/>
            <w:vAlign w:val="center"/>
          </w:tcPr>
          <w:p w14:paraId="51BE9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5.21%</w:t>
            </w:r>
          </w:p>
        </w:tc>
      </w:tr>
      <w:tr w14:paraId="507852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80" w:type="dxa"/>
            <w:vMerge w:val="continue"/>
            <w:tcBorders>
              <w:left w:val="double" w:color="auto" w:sz="4" w:space="0"/>
            </w:tcBorders>
          </w:tcPr>
          <w:p w14:paraId="20729E9E"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10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A4B14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鲫鱼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627A8C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活300克左右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9D784F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元/500克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2D5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10.72 </w:t>
            </w:r>
          </w:p>
        </w:tc>
        <w:tc>
          <w:tcPr>
            <w:tcW w:w="14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EDC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-3.86%</w:t>
            </w:r>
          </w:p>
        </w:tc>
        <w:tc>
          <w:tcPr>
            <w:tcW w:w="1369" w:type="dxa"/>
            <w:tcBorders>
              <w:top w:val="nil"/>
              <w:left w:val="nil"/>
              <w:bottom w:val="single" w:color="auto" w:sz="4" w:space="0"/>
              <w:right w:val="double" w:color="auto" w:sz="4" w:space="0"/>
            </w:tcBorders>
            <w:noWrap/>
            <w:vAlign w:val="center"/>
          </w:tcPr>
          <w:p w14:paraId="5C8A3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-0.65%</w:t>
            </w:r>
          </w:p>
        </w:tc>
      </w:tr>
      <w:tr w14:paraId="471713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80" w:type="dxa"/>
            <w:vMerge w:val="continue"/>
            <w:tcBorders>
              <w:left w:val="double" w:color="auto" w:sz="4" w:space="0"/>
              <w:bottom w:val="thickThinLargeGap" w:color="auto" w:sz="24" w:space="0"/>
            </w:tcBorders>
          </w:tcPr>
          <w:p w14:paraId="7467E570"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1083" w:type="dxa"/>
            <w:tcBorders>
              <w:top w:val="nil"/>
              <w:left w:val="single" w:color="auto" w:sz="4" w:space="0"/>
              <w:bottom w:val="thickThinLargeGap" w:color="auto" w:sz="24" w:space="0"/>
              <w:right w:val="single" w:color="auto" w:sz="4" w:space="0"/>
            </w:tcBorders>
          </w:tcPr>
          <w:p w14:paraId="53051AD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带鱼</w:t>
            </w:r>
          </w:p>
        </w:tc>
        <w:tc>
          <w:tcPr>
            <w:tcW w:w="1842" w:type="dxa"/>
            <w:tcBorders>
              <w:top w:val="nil"/>
              <w:left w:val="nil"/>
              <w:bottom w:val="thickThinLargeGap" w:color="auto" w:sz="24" w:space="0"/>
              <w:right w:val="single" w:color="auto" w:sz="4" w:space="0"/>
            </w:tcBorders>
          </w:tcPr>
          <w:p w14:paraId="03EE396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冻 250克左右</w:t>
            </w:r>
          </w:p>
        </w:tc>
        <w:tc>
          <w:tcPr>
            <w:tcW w:w="1221" w:type="dxa"/>
            <w:tcBorders>
              <w:top w:val="nil"/>
              <w:left w:val="nil"/>
              <w:bottom w:val="thickThinLargeGap" w:color="auto" w:sz="24" w:space="0"/>
              <w:right w:val="single" w:color="auto" w:sz="4" w:space="0"/>
            </w:tcBorders>
          </w:tcPr>
          <w:p w14:paraId="7ED6D18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元/500克</w:t>
            </w:r>
          </w:p>
        </w:tc>
        <w:tc>
          <w:tcPr>
            <w:tcW w:w="1276" w:type="dxa"/>
            <w:tcBorders>
              <w:top w:val="nil"/>
              <w:left w:val="nil"/>
              <w:bottom w:val="thickThinLargeGap" w:color="auto" w:sz="24" w:space="0"/>
              <w:right w:val="single" w:color="auto" w:sz="4" w:space="0"/>
            </w:tcBorders>
            <w:vAlign w:val="center"/>
          </w:tcPr>
          <w:p w14:paraId="7061C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12.07 </w:t>
            </w:r>
          </w:p>
        </w:tc>
        <w:tc>
          <w:tcPr>
            <w:tcW w:w="1466" w:type="dxa"/>
            <w:tcBorders>
              <w:top w:val="nil"/>
              <w:left w:val="single" w:color="auto" w:sz="4" w:space="0"/>
              <w:bottom w:val="thickThinLargeGap" w:color="auto" w:sz="24" w:space="0"/>
              <w:right w:val="single" w:color="auto" w:sz="4" w:space="0"/>
            </w:tcBorders>
            <w:vAlign w:val="center"/>
          </w:tcPr>
          <w:p w14:paraId="56DA5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0.00%</w:t>
            </w:r>
          </w:p>
        </w:tc>
        <w:tc>
          <w:tcPr>
            <w:tcW w:w="1369" w:type="dxa"/>
            <w:tcBorders>
              <w:top w:val="nil"/>
              <w:left w:val="nil"/>
              <w:bottom w:val="thickThinLargeGap" w:color="auto" w:sz="24" w:space="0"/>
              <w:right w:val="double" w:color="auto" w:sz="4" w:space="0"/>
            </w:tcBorders>
            <w:noWrap/>
            <w:vAlign w:val="center"/>
          </w:tcPr>
          <w:p w14:paraId="21F65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-1.07%</w:t>
            </w:r>
          </w:p>
        </w:tc>
      </w:tr>
      <w:tr w14:paraId="152CF8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80" w:type="dxa"/>
            <w:vMerge w:val="restart"/>
            <w:tcBorders>
              <w:top w:val="thickThinLargeGap" w:color="auto" w:sz="24" w:space="0"/>
              <w:left w:val="double" w:color="auto" w:sz="4" w:space="0"/>
            </w:tcBorders>
          </w:tcPr>
          <w:p w14:paraId="60990B2D"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</w:p>
          <w:p w14:paraId="3776BA26"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</w:p>
          <w:p w14:paraId="15F257D9"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</w:p>
          <w:p w14:paraId="343E0AEF"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</w:p>
          <w:p w14:paraId="6C1516B7"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  <w:t>蔬</w:t>
            </w:r>
          </w:p>
          <w:p w14:paraId="5626B229"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</w:p>
          <w:p w14:paraId="6BA7B41C"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</w:p>
          <w:p w14:paraId="02C2A67E"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  <w:t>菜</w:t>
            </w:r>
          </w:p>
          <w:p w14:paraId="7594CA5C"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</w:p>
          <w:p w14:paraId="3ED3A4F7"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</w:p>
          <w:p w14:paraId="27D0D5E2"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  <w:t>类</w:t>
            </w:r>
          </w:p>
        </w:tc>
        <w:tc>
          <w:tcPr>
            <w:tcW w:w="1083" w:type="dxa"/>
            <w:tcBorders>
              <w:top w:val="thickThinLargeGap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BA2F2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黄瓜</w:t>
            </w:r>
          </w:p>
        </w:tc>
        <w:tc>
          <w:tcPr>
            <w:tcW w:w="1842" w:type="dxa"/>
            <w:tcBorders>
              <w:top w:val="thickThinLargeGap" w:color="auto" w:sz="2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E6F77C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新鲜</w:t>
            </w:r>
          </w:p>
        </w:tc>
        <w:tc>
          <w:tcPr>
            <w:tcW w:w="1221" w:type="dxa"/>
            <w:tcBorders>
              <w:top w:val="thickThinLargeGap" w:color="auto" w:sz="2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51CBF2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元/500克</w:t>
            </w:r>
          </w:p>
        </w:tc>
        <w:tc>
          <w:tcPr>
            <w:tcW w:w="1276" w:type="dxa"/>
            <w:tcBorders>
              <w:top w:val="thickThinLargeGap" w:color="auto" w:sz="2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701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4.35 </w:t>
            </w:r>
          </w:p>
        </w:tc>
        <w:tc>
          <w:tcPr>
            <w:tcW w:w="1466" w:type="dxa"/>
            <w:tcBorders>
              <w:top w:val="thickThinLargeGap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27A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9.02%</w:t>
            </w:r>
          </w:p>
        </w:tc>
        <w:tc>
          <w:tcPr>
            <w:tcW w:w="1369" w:type="dxa"/>
            <w:tcBorders>
              <w:top w:val="thickThinLargeGap" w:color="auto" w:sz="24" w:space="0"/>
              <w:left w:val="nil"/>
              <w:bottom w:val="single" w:color="auto" w:sz="4" w:space="0"/>
              <w:right w:val="double" w:color="auto" w:sz="4" w:space="0"/>
            </w:tcBorders>
            <w:noWrap/>
            <w:vAlign w:val="center"/>
          </w:tcPr>
          <w:p w14:paraId="426CE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30.24%</w:t>
            </w:r>
          </w:p>
        </w:tc>
      </w:tr>
      <w:tr w14:paraId="7D0218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80" w:type="dxa"/>
            <w:vMerge w:val="continue"/>
            <w:tcBorders>
              <w:left w:val="double" w:color="auto" w:sz="4" w:space="0"/>
            </w:tcBorders>
          </w:tcPr>
          <w:p w14:paraId="3152DECB"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10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DDECE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茄子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22CDA1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新鲜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05A086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元/500克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BC5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4.69 </w:t>
            </w:r>
          </w:p>
        </w:tc>
        <w:tc>
          <w:tcPr>
            <w:tcW w:w="14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07C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15.23%</w:t>
            </w:r>
          </w:p>
        </w:tc>
        <w:tc>
          <w:tcPr>
            <w:tcW w:w="1369" w:type="dxa"/>
            <w:tcBorders>
              <w:top w:val="nil"/>
              <w:left w:val="nil"/>
              <w:bottom w:val="single" w:color="auto" w:sz="4" w:space="0"/>
              <w:right w:val="double" w:color="auto" w:sz="4" w:space="0"/>
            </w:tcBorders>
            <w:noWrap/>
            <w:vAlign w:val="center"/>
          </w:tcPr>
          <w:p w14:paraId="624E7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19.34%</w:t>
            </w:r>
          </w:p>
        </w:tc>
      </w:tr>
      <w:tr w14:paraId="107BEE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80" w:type="dxa"/>
            <w:vMerge w:val="continue"/>
            <w:tcBorders>
              <w:left w:val="double" w:color="auto" w:sz="4" w:space="0"/>
            </w:tcBorders>
          </w:tcPr>
          <w:p w14:paraId="1B237C8C"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10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AAC2C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西红柿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92A5F5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新鲜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A81575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元/500克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171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5.45 </w:t>
            </w:r>
          </w:p>
        </w:tc>
        <w:tc>
          <w:tcPr>
            <w:tcW w:w="14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B6D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9.66%</w:t>
            </w:r>
          </w:p>
        </w:tc>
        <w:tc>
          <w:tcPr>
            <w:tcW w:w="1369" w:type="dxa"/>
            <w:tcBorders>
              <w:top w:val="nil"/>
              <w:left w:val="nil"/>
              <w:bottom w:val="single" w:color="auto" w:sz="4" w:space="0"/>
              <w:right w:val="double" w:color="auto" w:sz="4" w:space="0"/>
            </w:tcBorders>
            <w:noWrap/>
            <w:vAlign w:val="center"/>
          </w:tcPr>
          <w:p w14:paraId="2C684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18.22%</w:t>
            </w:r>
          </w:p>
        </w:tc>
      </w:tr>
      <w:tr w14:paraId="4E1C10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80" w:type="dxa"/>
            <w:vMerge w:val="continue"/>
            <w:tcBorders>
              <w:left w:val="double" w:color="auto" w:sz="4" w:space="0"/>
            </w:tcBorders>
          </w:tcPr>
          <w:p w14:paraId="1A9E9EF0"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10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D793A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土豆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1FC5C6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新鲜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F52E58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元/500克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036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2.09 </w:t>
            </w:r>
          </w:p>
        </w:tc>
        <w:tc>
          <w:tcPr>
            <w:tcW w:w="14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913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1.95%</w:t>
            </w:r>
          </w:p>
        </w:tc>
        <w:tc>
          <w:tcPr>
            <w:tcW w:w="1369" w:type="dxa"/>
            <w:tcBorders>
              <w:top w:val="nil"/>
              <w:left w:val="nil"/>
              <w:bottom w:val="single" w:color="auto" w:sz="4" w:space="0"/>
              <w:right w:val="double" w:color="auto" w:sz="4" w:space="0"/>
            </w:tcBorders>
            <w:noWrap/>
            <w:vAlign w:val="center"/>
          </w:tcPr>
          <w:p w14:paraId="04968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-5.86%</w:t>
            </w:r>
          </w:p>
        </w:tc>
      </w:tr>
      <w:tr w14:paraId="2FAFEE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80" w:type="dxa"/>
            <w:vMerge w:val="continue"/>
            <w:tcBorders>
              <w:left w:val="double" w:color="auto" w:sz="4" w:space="0"/>
            </w:tcBorders>
          </w:tcPr>
          <w:p w14:paraId="6AEB9F87"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10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B3402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萝卜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35227C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新鲜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EAB868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元/500克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B55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1.34 </w:t>
            </w:r>
          </w:p>
        </w:tc>
        <w:tc>
          <w:tcPr>
            <w:tcW w:w="14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147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-1.47%</w:t>
            </w:r>
          </w:p>
        </w:tc>
        <w:tc>
          <w:tcPr>
            <w:tcW w:w="1369" w:type="dxa"/>
            <w:tcBorders>
              <w:top w:val="nil"/>
              <w:left w:val="nil"/>
              <w:bottom w:val="single" w:color="auto" w:sz="4" w:space="0"/>
              <w:right w:val="double" w:color="auto" w:sz="4" w:space="0"/>
            </w:tcBorders>
            <w:noWrap/>
            <w:vAlign w:val="center"/>
          </w:tcPr>
          <w:p w14:paraId="6C86C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-4.29%</w:t>
            </w:r>
          </w:p>
        </w:tc>
      </w:tr>
      <w:tr w14:paraId="28AC87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80" w:type="dxa"/>
            <w:vMerge w:val="continue"/>
            <w:tcBorders>
              <w:left w:val="double" w:color="auto" w:sz="4" w:space="0"/>
            </w:tcBorders>
          </w:tcPr>
          <w:p w14:paraId="1AC304F9"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10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ABB04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胡萝卜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835A65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新鲜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98E696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元/500克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932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2.11 </w:t>
            </w:r>
          </w:p>
        </w:tc>
        <w:tc>
          <w:tcPr>
            <w:tcW w:w="14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B57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-0.47%</w:t>
            </w:r>
          </w:p>
        </w:tc>
        <w:tc>
          <w:tcPr>
            <w:tcW w:w="1369" w:type="dxa"/>
            <w:tcBorders>
              <w:top w:val="nil"/>
              <w:left w:val="nil"/>
              <w:bottom w:val="single" w:color="auto" w:sz="4" w:space="0"/>
              <w:right w:val="double" w:color="auto" w:sz="4" w:space="0"/>
            </w:tcBorders>
            <w:noWrap/>
            <w:vAlign w:val="center"/>
          </w:tcPr>
          <w:p w14:paraId="7136E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-12.45%</w:t>
            </w:r>
          </w:p>
        </w:tc>
      </w:tr>
      <w:tr w14:paraId="2B8A91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80" w:type="dxa"/>
            <w:vMerge w:val="continue"/>
            <w:tcBorders>
              <w:left w:val="double" w:color="auto" w:sz="4" w:space="0"/>
            </w:tcBorders>
          </w:tcPr>
          <w:p w14:paraId="02252D69"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10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7A531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辣椒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2B2F23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新鲜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AC4228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元/500克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A9B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4.81 </w:t>
            </w:r>
          </w:p>
        </w:tc>
        <w:tc>
          <w:tcPr>
            <w:tcW w:w="14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739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-1.64%</w:t>
            </w:r>
          </w:p>
        </w:tc>
        <w:tc>
          <w:tcPr>
            <w:tcW w:w="1369" w:type="dxa"/>
            <w:tcBorders>
              <w:top w:val="nil"/>
              <w:left w:val="nil"/>
              <w:bottom w:val="single" w:color="auto" w:sz="4" w:space="0"/>
              <w:right w:val="double" w:color="auto" w:sz="4" w:space="0"/>
            </w:tcBorders>
            <w:noWrap/>
            <w:vAlign w:val="center"/>
          </w:tcPr>
          <w:p w14:paraId="6C594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21.16%</w:t>
            </w:r>
          </w:p>
        </w:tc>
      </w:tr>
      <w:tr w14:paraId="5F9FA9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80" w:type="dxa"/>
            <w:vMerge w:val="continue"/>
            <w:tcBorders>
              <w:left w:val="double" w:color="auto" w:sz="4" w:space="0"/>
            </w:tcBorders>
          </w:tcPr>
          <w:p w14:paraId="6F430AEB"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10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95A0F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长豆角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840A02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新鲜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37778A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元/500克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4B7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5.27 </w:t>
            </w:r>
          </w:p>
        </w:tc>
        <w:tc>
          <w:tcPr>
            <w:tcW w:w="14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5A2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12.61%</w:t>
            </w:r>
          </w:p>
        </w:tc>
        <w:tc>
          <w:tcPr>
            <w:tcW w:w="1369" w:type="dxa"/>
            <w:tcBorders>
              <w:top w:val="nil"/>
              <w:left w:val="nil"/>
              <w:bottom w:val="single" w:color="auto" w:sz="4" w:space="0"/>
              <w:right w:val="double" w:color="auto" w:sz="4" w:space="0"/>
            </w:tcBorders>
            <w:noWrap/>
            <w:vAlign w:val="center"/>
          </w:tcPr>
          <w:p w14:paraId="76B68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3.13%</w:t>
            </w:r>
          </w:p>
        </w:tc>
      </w:tr>
      <w:tr w14:paraId="23EC82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80" w:type="dxa"/>
            <w:vMerge w:val="continue"/>
            <w:tcBorders>
              <w:left w:val="double" w:color="auto" w:sz="4" w:space="0"/>
            </w:tcBorders>
          </w:tcPr>
          <w:p w14:paraId="2152117A"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10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56F30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苦瓜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0765DD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新鲜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364DBB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元/500克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A9B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4.14 </w:t>
            </w:r>
          </w:p>
        </w:tc>
        <w:tc>
          <w:tcPr>
            <w:tcW w:w="14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EB4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10.40%</w:t>
            </w:r>
          </w:p>
        </w:tc>
        <w:tc>
          <w:tcPr>
            <w:tcW w:w="1369" w:type="dxa"/>
            <w:tcBorders>
              <w:top w:val="nil"/>
              <w:left w:val="nil"/>
              <w:bottom w:val="single" w:color="auto" w:sz="4" w:space="0"/>
              <w:right w:val="double" w:color="auto" w:sz="4" w:space="0"/>
            </w:tcBorders>
            <w:noWrap/>
            <w:vAlign w:val="center"/>
          </w:tcPr>
          <w:p w14:paraId="6EC4E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-4.61%</w:t>
            </w:r>
          </w:p>
        </w:tc>
      </w:tr>
      <w:tr w14:paraId="5FA73E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80" w:type="dxa"/>
            <w:vMerge w:val="continue"/>
            <w:tcBorders>
              <w:left w:val="double" w:color="auto" w:sz="4" w:space="0"/>
            </w:tcBorders>
          </w:tcPr>
          <w:p w14:paraId="76AA4CEC"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10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B9CE5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冬瓜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E09FF5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新鲜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297E48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元/500克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E6E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1.39 </w:t>
            </w:r>
          </w:p>
        </w:tc>
        <w:tc>
          <w:tcPr>
            <w:tcW w:w="14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EDE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2.21%</w:t>
            </w:r>
          </w:p>
        </w:tc>
        <w:tc>
          <w:tcPr>
            <w:tcW w:w="1369" w:type="dxa"/>
            <w:tcBorders>
              <w:top w:val="nil"/>
              <w:left w:val="nil"/>
              <w:bottom w:val="single" w:color="auto" w:sz="4" w:space="0"/>
              <w:right w:val="double" w:color="auto" w:sz="4" w:space="0"/>
            </w:tcBorders>
            <w:noWrap/>
            <w:vAlign w:val="center"/>
          </w:tcPr>
          <w:p w14:paraId="038F9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-30.50%</w:t>
            </w:r>
          </w:p>
        </w:tc>
      </w:tr>
      <w:tr w14:paraId="28D00C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80" w:type="dxa"/>
            <w:vMerge w:val="continue"/>
            <w:tcBorders>
              <w:left w:val="double" w:color="auto" w:sz="4" w:space="0"/>
            </w:tcBorders>
          </w:tcPr>
          <w:p w14:paraId="60B300DA"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10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EA379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园白菜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9D5DCD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新鲜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928579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元/500克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F5F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1.89 </w:t>
            </w:r>
          </w:p>
        </w:tc>
        <w:tc>
          <w:tcPr>
            <w:tcW w:w="14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366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0.53%</w:t>
            </w:r>
          </w:p>
        </w:tc>
        <w:tc>
          <w:tcPr>
            <w:tcW w:w="1369" w:type="dxa"/>
            <w:tcBorders>
              <w:top w:val="nil"/>
              <w:left w:val="nil"/>
              <w:bottom w:val="single" w:color="auto" w:sz="4" w:space="0"/>
              <w:right w:val="double" w:color="auto" w:sz="4" w:space="0"/>
            </w:tcBorders>
            <w:noWrap/>
            <w:vAlign w:val="center"/>
          </w:tcPr>
          <w:p w14:paraId="1EBFD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1.61%</w:t>
            </w:r>
          </w:p>
        </w:tc>
      </w:tr>
      <w:tr w14:paraId="5072ED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80" w:type="dxa"/>
            <w:vMerge w:val="continue"/>
            <w:tcBorders>
              <w:left w:val="double" w:color="auto" w:sz="4" w:space="0"/>
            </w:tcBorders>
          </w:tcPr>
          <w:p w14:paraId="6CFB37D7"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10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4E6EE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大白菜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79718D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新鲜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8081CE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元/500克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931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1.93 </w:t>
            </w:r>
          </w:p>
        </w:tc>
        <w:tc>
          <w:tcPr>
            <w:tcW w:w="14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74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-1.03%</w:t>
            </w:r>
          </w:p>
        </w:tc>
        <w:tc>
          <w:tcPr>
            <w:tcW w:w="1369" w:type="dxa"/>
            <w:tcBorders>
              <w:top w:val="nil"/>
              <w:left w:val="nil"/>
              <w:bottom w:val="single" w:color="auto" w:sz="4" w:space="0"/>
              <w:right w:val="double" w:color="auto" w:sz="4" w:space="0"/>
            </w:tcBorders>
            <w:noWrap/>
            <w:vAlign w:val="center"/>
          </w:tcPr>
          <w:p w14:paraId="3E13E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12.21%</w:t>
            </w:r>
          </w:p>
        </w:tc>
      </w:tr>
      <w:tr w14:paraId="2B0933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80" w:type="dxa"/>
            <w:vMerge w:val="continue"/>
            <w:tcBorders>
              <w:left w:val="double" w:color="auto" w:sz="4" w:space="0"/>
            </w:tcBorders>
          </w:tcPr>
          <w:p w14:paraId="6BB4A021"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10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97702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青菜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B64C35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新鲜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EF0C9B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元/500克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F3C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3.02 </w:t>
            </w:r>
          </w:p>
        </w:tc>
        <w:tc>
          <w:tcPr>
            <w:tcW w:w="14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7FF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-10.39%</w:t>
            </w:r>
          </w:p>
        </w:tc>
        <w:tc>
          <w:tcPr>
            <w:tcW w:w="1369" w:type="dxa"/>
            <w:tcBorders>
              <w:top w:val="nil"/>
              <w:left w:val="nil"/>
              <w:bottom w:val="single" w:color="auto" w:sz="4" w:space="0"/>
              <w:right w:val="double" w:color="auto" w:sz="4" w:space="0"/>
            </w:tcBorders>
            <w:noWrap/>
            <w:vAlign w:val="center"/>
          </w:tcPr>
          <w:p w14:paraId="51712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10.22%</w:t>
            </w:r>
          </w:p>
        </w:tc>
      </w:tr>
      <w:tr w14:paraId="492B9F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80" w:type="dxa"/>
            <w:vMerge w:val="continue"/>
            <w:tcBorders>
              <w:left w:val="double" w:color="auto" w:sz="4" w:space="0"/>
            </w:tcBorders>
          </w:tcPr>
          <w:p w14:paraId="1B6CB0D7"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10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9AEC2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洋葱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600C68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新鲜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A5FB69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元/500克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94A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2.13 </w:t>
            </w:r>
          </w:p>
        </w:tc>
        <w:tc>
          <w:tcPr>
            <w:tcW w:w="14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BF0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-0.47%</w:t>
            </w:r>
          </w:p>
        </w:tc>
        <w:tc>
          <w:tcPr>
            <w:tcW w:w="1369" w:type="dxa"/>
            <w:tcBorders>
              <w:top w:val="nil"/>
              <w:left w:val="nil"/>
              <w:bottom w:val="single" w:color="auto" w:sz="4" w:space="0"/>
              <w:right w:val="double" w:color="auto" w:sz="4" w:space="0"/>
            </w:tcBorders>
            <w:noWrap/>
            <w:vAlign w:val="center"/>
          </w:tcPr>
          <w:p w14:paraId="34144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-15.48%</w:t>
            </w:r>
          </w:p>
        </w:tc>
      </w:tr>
      <w:tr w14:paraId="096C84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80" w:type="dxa"/>
            <w:vMerge w:val="continue"/>
            <w:tcBorders>
              <w:left w:val="double" w:color="auto" w:sz="4" w:space="0"/>
              <w:bottom w:val="thickThinLargeGap" w:color="auto" w:sz="24" w:space="0"/>
            </w:tcBorders>
          </w:tcPr>
          <w:p w14:paraId="28AA37CB">
            <w:pPr>
              <w:widowControl/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</w:p>
        </w:tc>
        <w:tc>
          <w:tcPr>
            <w:tcW w:w="1083" w:type="dxa"/>
            <w:tcBorders>
              <w:top w:val="nil"/>
              <w:left w:val="single" w:color="auto" w:sz="4" w:space="0"/>
              <w:bottom w:val="thickThinLargeGap" w:color="auto" w:sz="24" w:space="0"/>
              <w:right w:val="single" w:color="auto" w:sz="4" w:space="0"/>
            </w:tcBorders>
          </w:tcPr>
          <w:p w14:paraId="1F8B60B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芹菜</w:t>
            </w:r>
          </w:p>
        </w:tc>
        <w:tc>
          <w:tcPr>
            <w:tcW w:w="1842" w:type="dxa"/>
            <w:tcBorders>
              <w:top w:val="nil"/>
              <w:left w:val="nil"/>
              <w:bottom w:val="thickThinLargeGap" w:color="auto" w:sz="24" w:space="0"/>
              <w:right w:val="single" w:color="auto" w:sz="4" w:space="0"/>
            </w:tcBorders>
          </w:tcPr>
          <w:p w14:paraId="0B1EABA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新鲜</w:t>
            </w:r>
          </w:p>
        </w:tc>
        <w:tc>
          <w:tcPr>
            <w:tcW w:w="1221" w:type="dxa"/>
            <w:tcBorders>
              <w:top w:val="nil"/>
              <w:left w:val="nil"/>
              <w:bottom w:val="thickThinLargeGap" w:color="auto" w:sz="24" w:space="0"/>
              <w:right w:val="single" w:color="auto" w:sz="4" w:space="0"/>
            </w:tcBorders>
          </w:tcPr>
          <w:p w14:paraId="1016531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元/500克</w:t>
            </w:r>
          </w:p>
        </w:tc>
        <w:tc>
          <w:tcPr>
            <w:tcW w:w="1276" w:type="dxa"/>
            <w:tcBorders>
              <w:top w:val="nil"/>
              <w:left w:val="nil"/>
              <w:bottom w:val="thickThinLargeGap" w:color="auto" w:sz="24" w:space="0"/>
              <w:right w:val="single" w:color="auto" w:sz="4" w:space="0"/>
            </w:tcBorders>
            <w:vAlign w:val="center"/>
          </w:tcPr>
          <w:p w14:paraId="06F72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5.64 </w:t>
            </w:r>
          </w:p>
        </w:tc>
        <w:tc>
          <w:tcPr>
            <w:tcW w:w="1466" w:type="dxa"/>
            <w:tcBorders>
              <w:top w:val="nil"/>
              <w:left w:val="single" w:color="auto" w:sz="4" w:space="0"/>
              <w:bottom w:val="thickThinLargeGap" w:color="auto" w:sz="24" w:space="0"/>
              <w:right w:val="single" w:color="auto" w:sz="4" w:space="0"/>
            </w:tcBorders>
            <w:vAlign w:val="center"/>
          </w:tcPr>
          <w:p w14:paraId="39845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2.92%</w:t>
            </w:r>
          </w:p>
        </w:tc>
        <w:tc>
          <w:tcPr>
            <w:tcW w:w="1369" w:type="dxa"/>
            <w:tcBorders>
              <w:top w:val="nil"/>
              <w:left w:val="nil"/>
              <w:bottom w:val="thickThinLargeGap" w:color="auto" w:sz="24" w:space="0"/>
              <w:right w:val="double" w:color="auto" w:sz="4" w:space="0"/>
            </w:tcBorders>
            <w:noWrap/>
            <w:vAlign w:val="center"/>
          </w:tcPr>
          <w:p w14:paraId="18877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33.33%</w:t>
            </w:r>
          </w:p>
        </w:tc>
      </w:tr>
      <w:tr w14:paraId="5937AC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480" w:type="dxa"/>
            <w:vMerge w:val="restart"/>
            <w:tcBorders>
              <w:top w:val="thickThinLargeGap" w:color="auto" w:sz="24" w:space="0"/>
              <w:left w:val="double" w:color="auto" w:sz="4" w:space="0"/>
            </w:tcBorders>
          </w:tcPr>
          <w:p w14:paraId="026779DC"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  <w:p w14:paraId="6B3583D1"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  <w:p w14:paraId="76B51E23"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其</w:t>
            </w:r>
          </w:p>
          <w:p w14:paraId="74912272"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</w:pPr>
          </w:p>
          <w:p w14:paraId="67828387">
            <w:pPr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</w:rPr>
              <w:t>它</w:t>
            </w:r>
          </w:p>
        </w:tc>
        <w:tc>
          <w:tcPr>
            <w:tcW w:w="1083" w:type="dxa"/>
            <w:tcBorders>
              <w:top w:val="thickThinLargeGap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2B51E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香蕉</w:t>
            </w:r>
          </w:p>
        </w:tc>
        <w:tc>
          <w:tcPr>
            <w:tcW w:w="1842" w:type="dxa"/>
            <w:tcBorders>
              <w:top w:val="thickThinLargeGap" w:color="auto" w:sz="2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C63906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国产一级</w:t>
            </w:r>
          </w:p>
        </w:tc>
        <w:tc>
          <w:tcPr>
            <w:tcW w:w="1221" w:type="dxa"/>
            <w:tcBorders>
              <w:top w:val="thickThinLargeGap" w:color="auto" w:sz="2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C23EA1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元/500克</w:t>
            </w:r>
          </w:p>
        </w:tc>
        <w:tc>
          <w:tcPr>
            <w:tcW w:w="1276" w:type="dxa"/>
            <w:tcBorders>
              <w:top w:val="thickThinLargeGap" w:color="auto" w:sz="2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425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3.19 </w:t>
            </w:r>
          </w:p>
        </w:tc>
        <w:tc>
          <w:tcPr>
            <w:tcW w:w="1466" w:type="dxa"/>
            <w:tcBorders>
              <w:top w:val="thickThinLargeGap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EA7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6.33%</w:t>
            </w:r>
          </w:p>
        </w:tc>
        <w:tc>
          <w:tcPr>
            <w:tcW w:w="1369" w:type="dxa"/>
            <w:tcBorders>
              <w:top w:val="thickThinLargeGap" w:color="auto" w:sz="24" w:space="0"/>
              <w:left w:val="nil"/>
              <w:bottom w:val="single" w:color="auto" w:sz="4" w:space="0"/>
              <w:right w:val="double" w:color="auto" w:sz="4" w:space="0"/>
            </w:tcBorders>
            <w:noWrap/>
            <w:vAlign w:val="center"/>
          </w:tcPr>
          <w:p w14:paraId="6EDF2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-6.73%</w:t>
            </w:r>
          </w:p>
        </w:tc>
      </w:tr>
      <w:tr w14:paraId="6C142D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80" w:type="dxa"/>
            <w:vMerge w:val="continue"/>
            <w:tcBorders>
              <w:left w:val="double" w:color="auto" w:sz="4" w:space="0"/>
            </w:tcBorders>
          </w:tcPr>
          <w:p w14:paraId="26A53BC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0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4960C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苹果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A3421C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红富士一级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1C8EB5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元/500克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FAB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6.02 </w:t>
            </w:r>
          </w:p>
        </w:tc>
        <w:tc>
          <w:tcPr>
            <w:tcW w:w="14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B7D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-1.31%</w:t>
            </w:r>
          </w:p>
        </w:tc>
        <w:tc>
          <w:tcPr>
            <w:tcW w:w="1369" w:type="dxa"/>
            <w:tcBorders>
              <w:top w:val="nil"/>
              <w:left w:val="nil"/>
              <w:bottom w:val="single" w:color="auto" w:sz="4" w:space="0"/>
              <w:right w:val="double" w:color="auto" w:sz="4" w:space="0"/>
            </w:tcBorders>
            <w:noWrap/>
            <w:vAlign w:val="center"/>
          </w:tcPr>
          <w:p w14:paraId="2E072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7.31%</w:t>
            </w:r>
          </w:p>
        </w:tc>
      </w:tr>
      <w:tr w14:paraId="67C788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80" w:type="dxa"/>
            <w:vMerge w:val="continue"/>
            <w:tcBorders>
              <w:left w:val="double" w:color="auto" w:sz="4" w:space="0"/>
            </w:tcBorders>
          </w:tcPr>
          <w:p w14:paraId="47B3BB3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0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FF487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梨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B2915D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新鲜一级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59D16E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元/500克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47E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3.10 </w:t>
            </w:r>
          </w:p>
        </w:tc>
        <w:tc>
          <w:tcPr>
            <w:tcW w:w="14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6E4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-3.13%</w:t>
            </w:r>
          </w:p>
        </w:tc>
        <w:tc>
          <w:tcPr>
            <w:tcW w:w="1369" w:type="dxa"/>
            <w:tcBorders>
              <w:top w:val="nil"/>
              <w:left w:val="nil"/>
              <w:bottom w:val="single" w:color="auto" w:sz="4" w:space="0"/>
              <w:right w:val="double" w:color="auto" w:sz="4" w:space="0"/>
            </w:tcBorders>
            <w:noWrap/>
            <w:vAlign w:val="center"/>
          </w:tcPr>
          <w:p w14:paraId="2E6B9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-3.13%</w:t>
            </w:r>
          </w:p>
        </w:tc>
      </w:tr>
      <w:tr w14:paraId="3D6210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80" w:type="dxa"/>
            <w:vMerge w:val="continue"/>
            <w:tcBorders>
              <w:left w:val="double" w:color="auto" w:sz="4" w:space="0"/>
            </w:tcBorders>
          </w:tcPr>
          <w:p w14:paraId="56A7079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0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8CC58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牛奶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B7F002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当地主销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47FB58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元/250克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7D0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2.80 </w:t>
            </w:r>
          </w:p>
        </w:tc>
        <w:tc>
          <w:tcPr>
            <w:tcW w:w="14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6DD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0.00%</w:t>
            </w:r>
          </w:p>
        </w:tc>
        <w:tc>
          <w:tcPr>
            <w:tcW w:w="1369" w:type="dxa"/>
            <w:tcBorders>
              <w:top w:val="nil"/>
              <w:left w:val="nil"/>
              <w:bottom w:val="single" w:color="auto" w:sz="4" w:space="0"/>
              <w:right w:val="double" w:color="auto" w:sz="4" w:space="0"/>
            </w:tcBorders>
            <w:noWrap/>
            <w:vAlign w:val="center"/>
          </w:tcPr>
          <w:p w14:paraId="56D26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0.00%</w:t>
            </w:r>
          </w:p>
        </w:tc>
      </w:tr>
      <w:tr w14:paraId="6E6941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80" w:type="dxa"/>
            <w:vMerge w:val="continue"/>
            <w:tcBorders>
              <w:left w:val="double" w:color="auto" w:sz="4" w:space="0"/>
            </w:tcBorders>
          </w:tcPr>
          <w:p w14:paraId="616D8AB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0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26400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食用盐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A253D1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精制含碘盐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60D3E9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元/500克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2A3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2.00 </w:t>
            </w:r>
          </w:p>
        </w:tc>
        <w:tc>
          <w:tcPr>
            <w:tcW w:w="14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EB3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0.00%</w:t>
            </w:r>
          </w:p>
        </w:tc>
        <w:tc>
          <w:tcPr>
            <w:tcW w:w="1369" w:type="dxa"/>
            <w:tcBorders>
              <w:top w:val="nil"/>
              <w:left w:val="nil"/>
              <w:bottom w:val="single" w:color="auto" w:sz="4" w:space="0"/>
              <w:right w:val="double" w:color="auto" w:sz="4" w:space="0"/>
            </w:tcBorders>
            <w:noWrap/>
            <w:vAlign w:val="center"/>
          </w:tcPr>
          <w:p w14:paraId="7AA1A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0.00%</w:t>
            </w:r>
          </w:p>
        </w:tc>
      </w:tr>
      <w:tr w14:paraId="56D5A9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480" w:type="dxa"/>
            <w:vMerge w:val="continue"/>
            <w:tcBorders>
              <w:left w:val="double" w:color="auto" w:sz="4" w:space="0"/>
              <w:bottom w:val="single" w:color="auto" w:sz="4" w:space="0"/>
            </w:tcBorders>
          </w:tcPr>
          <w:p w14:paraId="11E1708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0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2F620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红糖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7838B5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当地主销</w:t>
            </w:r>
          </w:p>
        </w:tc>
        <w:tc>
          <w:tcPr>
            <w:tcW w:w="12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FA7627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元/500克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B4B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6.38 </w:t>
            </w:r>
          </w:p>
        </w:tc>
        <w:tc>
          <w:tcPr>
            <w:tcW w:w="14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747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1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0.00%</w:t>
            </w:r>
          </w:p>
        </w:tc>
        <w:tc>
          <w:tcPr>
            <w:tcW w:w="1369" w:type="dxa"/>
            <w:tcBorders>
              <w:top w:val="nil"/>
              <w:left w:val="nil"/>
              <w:bottom w:val="single" w:color="auto" w:sz="4" w:space="0"/>
              <w:right w:val="double" w:color="auto" w:sz="4" w:space="0"/>
            </w:tcBorders>
            <w:noWrap/>
            <w:vAlign w:val="center"/>
          </w:tcPr>
          <w:p w14:paraId="7005F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0.00%</w:t>
            </w:r>
          </w:p>
        </w:tc>
      </w:tr>
      <w:bookmarkEnd w:id="0"/>
    </w:tbl>
    <w:p w14:paraId="793B118E">
      <w:pPr>
        <w:rPr>
          <w:sz w:val="44"/>
          <w:szCs w:val="44"/>
        </w:rPr>
      </w:pPr>
    </w:p>
    <w:sectPr>
      <w:headerReference r:id="rId3" w:type="default"/>
      <w:footerReference r:id="rId4" w:type="default"/>
      <w:endnotePr>
        <w:numFmt w:val="decimal"/>
      </w:endnotePr>
      <w:pgSz w:w="11906" w:h="16838"/>
      <w:pgMar w:top="1304" w:right="1797" w:bottom="1134" w:left="1797" w:header="851" w:footer="1191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38A05D"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3B8245CE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XSZTlzAEAAKc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B8245CE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drawing>
        <wp:anchor distT="0" distB="0" distL="114300" distR="114300" simplePos="0" relativeHeight="251659264" behindDoc="0" locked="0" layoutInCell="0" allowOverlap="1">
          <wp:simplePos x="0" y="0"/>
          <wp:positionH relativeFrom="margin">
            <wp:align>center</wp:align>
          </wp:positionH>
          <wp:positionV relativeFrom="paragraph">
            <wp:posOffset>0</wp:posOffset>
          </wp:positionV>
          <wp:extent cx="114300" cy="130175"/>
          <wp:effectExtent l="0" t="0" r="0" b="0"/>
          <wp:wrapNone/>
          <wp:docPr id="2" name="图片模式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模式1"/>
                  <pic:cNvPicPr/>
                </pic:nvPicPr>
                <pic:blipFill>
                  <a:blip/>
                  <a:stretch>
                    <a:fillRect/>
                  </a:stretch>
                </pic:blipFill>
                <pic:spPr>
                  <a:xfrm>
                    <a:off x="0" y="0"/>
                    <a:ext cx="114300" cy="130175"/>
                  </a:xfrm>
                  <a:prstGeom prst="rect">
                    <a:avLst/>
                  </a:prstGeom>
                  <a:noFill/>
                  <a:ln w="12700">
                    <a:noFill/>
                  </a:ln>
                </pic:spPr>
              </pic:pic>
            </a:graphicData>
          </a:graphic>
        </wp:anchor>
      </w:drawing>
    </w:r>
  </w:p>
  <w:p w14:paraId="094F1B40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0FB387">
    <w:pPr>
      <w:pBdr>
        <w:bottom w:val="single" w:color="FFFFFF" w:sz="4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55AB5F9"/>
    <w:multiLevelType w:val="singleLevel"/>
    <w:tmpl w:val="755AB5F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bordersDoNotSurroundHeader w:val="0"/>
  <w:bordersDoNotSurroundFooter w:val="0"/>
  <w:documentProtection w:enforcement="0"/>
  <w:defaultTabStop w:val="420"/>
  <w:drawingGridHorizontalSpacing w:val="0"/>
  <w:drawingGridVerticalSpacing w:val="156"/>
  <w:displayHorizontalDrawingGridEvery w:val="1"/>
  <w:displayVerticalDrawingGridEvery w:val="1"/>
  <w:noPunctuationKerning w:val="1"/>
  <w:characterSpacingControl w:val="doNotCompress"/>
  <w:endnotePr>
    <w:numFmt w:val="decimal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yOWRiZGMwNjZhNDliZThiMjE1MjI1YmY4ZDhkNjMifQ=="/>
  </w:docVars>
  <w:rsids>
    <w:rsidRoot w:val="00441A3A"/>
    <w:rsid w:val="000566AD"/>
    <w:rsid w:val="000B3B3C"/>
    <w:rsid w:val="00124439"/>
    <w:rsid w:val="001A01DE"/>
    <w:rsid w:val="001B08D0"/>
    <w:rsid w:val="001F758E"/>
    <w:rsid w:val="00255A59"/>
    <w:rsid w:val="002625B2"/>
    <w:rsid w:val="002E0EC6"/>
    <w:rsid w:val="003108E5"/>
    <w:rsid w:val="00427D93"/>
    <w:rsid w:val="004349E4"/>
    <w:rsid w:val="00441A3A"/>
    <w:rsid w:val="00493CCB"/>
    <w:rsid w:val="004A5609"/>
    <w:rsid w:val="004E4CB7"/>
    <w:rsid w:val="005B4D1A"/>
    <w:rsid w:val="005C2064"/>
    <w:rsid w:val="006B4163"/>
    <w:rsid w:val="007604B0"/>
    <w:rsid w:val="007958E0"/>
    <w:rsid w:val="0085784C"/>
    <w:rsid w:val="009001FA"/>
    <w:rsid w:val="0095583F"/>
    <w:rsid w:val="00A04BC0"/>
    <w:rsid w:val="00B123B8"/>
    <w:rsid w:val="00B51775"/>
    <w:rsid w:val="00BE2AA4"/>
    <w:rsid w:val="00C349C3"/>
    <w:rsid w:val="00DD3EE4"/>
    <w:rsid w:val="00DF0A9F"/>
    <w:rsid w:val="00E145BD"/>
    <w:rsid w:val="00E6348D"/>
    <w:rsid w:val="00ED27A9"/>
    <w:rsid w:val="013D73A1"/>
    <w:rsid w:val="01605145"/>
    <w:rsid w:val="01A544B3"/>
    <w:rsid w:val="02542185"/>
    <w:rsid w:val="02577837"/>
    <w:rsid w:val="027A5BED"/>
    <w:rsid w:val="02CA2332"/>
    <w:rsid w:val="02D67BEC"/>
    <w:rsid w:val="03682C7F"/>
    <w:rsid w:val="0404166A"/>
    <w:rsid w:val="042A6047"/>
    <w:rsid w:val="043B2EAD"/>
    <w:rsid w:val="04627CA9"/>
    <w:rsid w:val="04CA3F04"/>
    <w:rsid w:val="054E3E78"/>
    <w:rsid w:val="05813871"/>
    <w:rsid w:val="05873124"/>
    <w:rsid w:val="06280155"/>
    <w:rsid w:val="06803A2A"/>
    <w:rsid w:val="0692797A"/>
    <w:rsid w:val="06E818A6"/>
    <w:rsid w:val="06FC1B23"/>
    <w:rsid w:val="07004C5A"/>
    <w:rsid w:val="07ED2710"/>
    <w:rsid w:val="082C743E"/>
    <w:rsid w:val="08554BBF"/>
    <w:rsid w:val="087A1345"/>
    <w:rsid w:val="08F83D41"/>
    <w:rsid w:val="09E249B7"/>
    <w:rsid w:val="09E3201B"/>
    <w:rsid w:val="0A2F35EF"/>
    <w:rsid w:val="0B8C3FEE"/>
    <w:rsid w:val="0C150DDA"/>
    <w:rsid w:val="0C1A2EB0"/>
    <w:rsid w:val="0C223F7A"/>
    <w:rsid w:val="0C4358C8"/>
    <w:rsid w:val="0C4E505A"/>
    <w:rsid w:val="0C7A399F"/>
    <w:rsid w:val="0C8C7994"/>
    <w:rsid w:val="0CEA308E"/>
    <w:rsid w:val="0D194861"/>
    <w:rsid w:val="0D31140A"/>
    <w:rsid w:val="0DE16DD4"/>
    <w:rsid w:val="0E4967E5"/>
    <w:rsid w:val="0EF03195"/>
    <w:rsid w:val="0F9B4BCD"/>
    <w:rsid w:val="0FAB7552"/>
    <w:rsid w:val="101A2901"/>
    <w:rsid w:val="103924D3"/>
    <w:rsid w:val="10466D46"/>
    <w:rsid w:val="10AC60ED"/>
    <w:rsid w:val="10D24604"/>
    <w:rsid w:val="10D61AAC"/>
    <w:rsid w:val="11313FB5"/>
    <w:rsid w:val="114E27EE"/>
    <w:rsid w:val="1219670D"/>
    <w:rsid w:val="12783313"/>
    <w:rsid w:val="12FC6323"/>
    <w:rsid w:val="130D1EB8"/>
    <w:rsid w:val="13441D7E"/>
    <w:rsid w:val="138B6A64"/>
    <w:rsid w:val="13EBFF22"/>
    <w:rsid w:val="13F35552"/>
    <w:rsid w:val="13FA41EA"/>
    <w:rsid w:val="144C7FC0"/>
    <w:rsid w:val="147D6BCA"/>
    <w:rsid w:val="148B2CB1"/>
    <w:rsid w:val="159E0C7C"/>
    <w:rsid w:val="15A94DFE"/>
    <w:rsid w:val="164815C5"/>
    <w:rsid w:val="16994CD7"/>
    <w:rsid w:val="16AE3719"/>
    <w:rsid w:val="16B40B12"/>
    <w:rsid w:val="16B528CD"/>
    <w:rsid w:val="16C8794B"/>
    <w:rsid w:val="16F66FED"/>
    <w:rsid w:val="17E837F1"/>
    <w:rsid w:val="17F81B6C"/>
    <w:rsid w:val="1835005B"/>
    <w:rsid w:val="18583BD5"/>
    <w:rsid w:val="18A81247"/>
    <w:rsid w:val="194B194C"/>
    <w:rsid w:val="19967A6A"/>
    <w:rsid w:val="199E091B"/>
    <w:rsid w:val="19BE443D"/>
    <w:rsid w:val="19D67B51"/>
    <w:rsid w:val="1A531F63"/>
    <w:rsid w:val="1AB737C2"/>
    <w:rsid w:val="1AF520EE"/>
    <w:rsid w:val="1BDF6CF3"/>
    <w:rsid w:val="1C2278AD"/>
    <w:rsid w:val="1C457E68"/>
    <w:rsid w:val="1C7B7201"/>
    <w:rsid w:val="1CA016AE"/>
    <w:rsid w:val="1CA86D07"/>
    <w:rsid w:val="1D27142F"/>
    <w:rsid w:val="1D4F3AEB"/>
    <w:rsid w:val="1D994DDE"/>
    <w:rsid w:val="1D996102"/>
    <w:rsid w:val="1DAD5CDD"/>
    <w:rsid w:val="1EE745CF"/>
    <w:rsid w:val="1F5970EB"/>
    <w:rsid w:val="1F5F4652"/>
    <w:rsid w:val="1FCA28ED"/>
    <w:rsid w:val="20836C40"/>
    <w:rsid w:val="20B360DE"/>
    <w:rsid w:val="2113068F"/>
    <w:rsid w:val="2200661A"/>
    <w:rsid w:val="2295756D"/>
    <w:rsid w:val="22DD5269"/>
    <w:rsid w:val="23020E1E"/>
    <w:rsid w:val="23922691"/>
    <w:rsid w:val="247C676D"/>
    <w:rsid w:val="247D0CA4"/>
    <w:rsid w:val="24DA618B"/>
    <w:rsid w:val="24FC39CF"/>
    <w:rsid w:val="25D8184B"/>
    <w:rsid w:val="272B5359"/>
    <w:rsid w:val="272F6449"/>
    <w:rsid w:val="276C411F"/>
    <w:rsid w:val="27883983"/>
    <w:rsid w:val="283F48BA"/>
    <w:rsid w:val="284873C6"/>
    <w:rsid w:val="287611E1"/>
    <w:rsid w:val="28B15AC4"/>
    <w:rsid w:val="29581F81"/>
    <w:rsid w:val="2A3E2428"/>
    <w:rsid w:val="2A6B1DBD"/>
    <w:rsid w:val="2AC0023B"/>
    <w:rsid w:val="2B216A7A"/>
    <w:rsid w:val="2B2A22DB"/>
    <w:rsid w:val="2B7B6280"/>
    <w:rsid w:val="2BA835D8"/>
    <w:rsid w:val="2C5B614E"/>
    <w:rsid w:val="2DA148AD"/>
    <w:rsid w:val="2E105866"/>
    <w:rsid w:val="2E371B8C"/>
    <w:rsid w:val="2EBE1C78"/>
    <w:rsid w:val="2ED06C49"/>
    <w:rsid w:val="2ED25A66"/>
    <w:rsid w:val="2F187059"/>
    <w:rsid w:val="2F1A0857"/>
    <w:rsid w:val="2F1D4420"/>
    <w:rsid w:val="2F391E67"/>
    <w:rsid w:val="2F3E3498"/>
    <w:rsid w:val="2F93191D"/>
    <w:rsid w:val="30643DBF"/>
    <w:rsid w:val="308B3D0F"/>
    <w:rsid w:val="30B2400E"/>
    <w:rsid w:val="31233637"/>
    <w:rsid w:val="31D72451"/>
    <w:rsid w:val="32A84B88"/>
    <w:rsid w:val="33187E72"/>
    <w:rsid w:val="336073D8"/>
    <w:rsid w:val="33802506"/>
    <w:rsid w:val="33F92C51"/>
    <w:rsid w:val="34433E16"/>
    <w:rsid w:val="349652FD"/>
    <w:rsid w:val="34CE1050"/>
    <w:rsid w:val="34CE2DFE"/>
    <w:rsid w:val="35644962"/>
    <w:rsid w:val="357A430B"/>
    <w:rsid w:val="3580416C"/>
    <w:rsid w:val="358341BB"/>
    <w:rsid w:val="359F2A7E"/>
    <w:rsid w:val="35EA3D49"/>
    <w:rsid w:val="36146F36"/>
    <w:rsid w:val="36675026"/>
    <w:rsid w:val="369A4D8E"/>
    <w:rsid w:val="37225683"/>
    <w:rsid w:val="378C04E8"/>
    <w:rsid w:val="37B3277F"/>
    <w:rsid w:val="380D6717"/>
    <w:rsid w:val="383138BF"/>
    <w:rsid w:val="38440C79"/>
    <w:rsid w:val="38BC1751"/>
    <w:rsid w:val="38FB4B2B"/>
    <w:rsid w:val="391D48A8"/>
    <w:rsid w:val="39E740FD"/>
    <w:rsid w:val="3A0B41B8"/>
    <w:rsid w:val="3A3F16A2"/>
    <w:rsid w:val="3A8A7406"/>
    <w:rsid w:val="3A9852EF"/>
    <w:rsid w:val="3B146E24"/>
    <w:rsid w:val="3B444B46"/>
    <w:rsid w:val="3B83070E"/>
    <w:rsid w:val="3BA70A72"/>
    <w:rsid w:val="3BBFC656"/>
    <w:rsid w:val="3C053BEB"/>
    <w:rsid w:val="3C6E6EF7"/>
    <w:rsid w:val="3D0C0F77"/>
    <w:rsid w:val="3DDF4223"/>
    <w:rsid w:val="3E183EF4"/>
    <w:rsid w:val="3E19632D"/>
    <w:rsid w:val="3E2170DE"/>
    <w:rsid w:val="3E4B9389"/>
    <w:rsid w:val="3E545C64"/>
    <w:rsid w:val="3E7209D5"/>
    <w:rsid w:val="3EA57AA6"/>
    <w:rsid w:val="3ECE5C4E"/>
    <w:rsid w:val="3ED06081"/>
    <w:rsid w:val="3ED223AD"/>
    <w:rsid w:val="3ED422AC"/>
    <w:rsid w:val="3EF36F4F"/>
    <w:rsid w:val="3F5FC6C2"/>
    <w:rsid w:val="3FF34060"/>
    <w:rsid w:val="40142D3A"/>
    <w:rsid w:val="414A715B"/>
    <w:rsid w:val="416463E2"/>
    <w:rsid w:val="42A8234D"/>
    <w:rsid w:val="43227D2C"/>
    <w:rsid w:val="43F02BF6"/>
    <w:rsid w:val="44B23E5B"/>
    <w:rsid w:val="45017775"/>
    <w:rsid w:val="45155250"/>
    <w:rsid w:val="4541299E"/>
    <w:rsid w:val="45D35CE0"/>
    <w:rsid w:val="461E26A8"/>
    <w:rsid w:val="46750580"/>
    <w:rsid w:val="46A01945"/>
    <w:rsid w:val="46B7418E"/>
    <w:rsid w:val="46C811CD"/>
    <w:rsid w:val="474F50B0"/>
    <w:rsid w:val="47911971"/>
    <w:rsid w:val="47C55C2D"/>
    <w:rsid w:val="486C31A5"/>
    <w:rsid w:val="48DC264B"/>
    <w:rsid w:val="4A19459E"/>
    <w:rsid w:val="4B146DC3"/>
    <w:rsid w:val="4B767B23"/>
    <w:rsid w:val="4BA108C9"/>
    <w:rsid w:val="4BA97A67"/>
    <w:rsid w:val="4CE6517D"/>
    <w:rsid w:val="4D672B71"/>
    <w:rsid w:val="4D8C4B1A"/>
    <w:rsid w:val="4DE5749E"/>
    <w:rsid w:val="4DF80E79"/>
    <w:rsid w:val="4DFB5D49"/>
    <w:rsid w:val="4E974AC6"/>
    <w:rsid w:val="4ED31ECB"/>
    <w:rsid w:val="4F223A3D"/>
    <w:rsid w:val="4FCA1041"/>
    <w:rsid w:val="505F3EB0"/>
    <w:rsid w:val="50A36B18"/>
    <w:rsid w:val="50C67D1A"/>
    <w:rsid w:val="514A0769"/>
    <w:rsid w:val="514C58C5"/>
    <w:rsid w:val="517C0331"/>
    <w:rsid w:val="51B85CB1"/>
    <w:rsid w:val="522A7CBA"/>
    <w:rsid w:val="526B3B3C"/>
    <w:rsid w:val="527A3D8C"/>
    <w:rsid w:val="52BE22AC"/>
    <w:rsid w:val="52CC2C1B"/>
    <w:rsid w:val="52F11784"/>
    <w:rsid w:val="52F66763"/>
    <w:rsid w:val="531C70D4"/>
    <w:rsid w:val="531F7B6C"/>
    <w:rsid w:val="53210E33"/>
    <w:rsid w:val="535D54A5"/>
    <w:rsid w:val="536356F3"/>
    <w:rsid w:val="53717060"/>
    <w:rsid w:val="53AE474F"/>
    <w:rsid w:val="541D688B"/>
    <w:rsid w:val="5457686A"/>
    <w:rsid w:val="548E4246"/>
    <w:rsid w:val="54E833C2"/>
    <w:rsid w:val="56A06AF1"/>
    <w:rsid w:val="56A1683B"/>
    <w:rsid w:val="57B60637"/>
    <w:rsid w:val="57C16224"/>
    <w:rsid w:val="585052DA"/>
    <w:rsid w:val="58957911"/>
    <w:rsid w:val="58D20FB7"/>
    <w:rsid w:val="598E5CDE"/>
    <w:rsid w:val="5A5E2200"/>
    <w:rsid w:val="5ABB4C91"/>
    <w:rsid w:val="5AD20887"/>
    <w:rsid w:val="5ADC26EA"/>
    <w:rsid w:val="5AE13434"/>
    <w:rsid w:val="5B4A3485"/>
    <w:rsid w:val="5C624949"/>
    <w:rsid w:val="5CB67EBF"/>
    <w:rsid w:val="5D1B35DD"/>
    <w:rsid w:val="5D610A4E"/>
    <w:rsid w:val="5DAD5B08"/>
    <w:rsid w:val="5DF559DA"/>
    <w:rsid w:val="5E007C1C"/>
    <w:rsid w:val="5E192A8C"/>
    <w:rsid w:val="5EE302BE"/>
    <w:rsid w:val="5F4616F9"/>
    <w:rsid w:val="5F597BE0"/>
    <w:rsid w:val="5FFF2079"/>
    <w:rsid w:val="60041C96"/>
    <w:rsid w:val="604D4440"/>
    <w:rsid w:val="60F4132C"/>
    <w:rsid w:val="616D2BE4"/>
    <w:rsid w:val="62BC1607"/>
    <w:rsid w:val="62D37DBF"/>
    <w:rsid w:val="63580EE2"/>
    <w:rsid w:val="636C0459"/>
    <w:rsid w:val="63C05A53"/>
    <w:rsid w:val="640220F9"/>
    <w:rsid w:val="64A805C1"/>
    <w:rsid w:val="64EB5A1B"/>
    <w:rsid w:val="65EC3AF6"/>
    <w:rsid w:val="661A36DF"/>
    <w:rsid w:val="669D67B5"/>
    <w:rsid w:val="676C6C6D"/>
    <w:rsid w:val="684851C1"/>
    <w:rsid w:val="68580354"/>
    <w:rsid w:val="685C78DE"/>
    <w:rsid w:val="688E7BE3"/>
    <w:rsid w:val="68BC200A"/>
    <w:rsid w:val="68CA09B4"/>
    <w:rsid w:val="69485476"/>
    <w:rsid w:val="69674255"/>
    <w:rsid w:val="6988409C"/>
    <w:rsid w:val="69BA763E"/>
    <w:rsid w:val="6A9660C9"/>
    <w:rsid w:val="6AA3395C"/>
    <w:rsid w:val="6AB41F28"/>
    <w:rsid w:val="6AB605A7"/>
    <w:rsid w:val="6B0331B8"/>
    <w:rsid w:val="6C6251BD"/>
    <w:rsid w:val="6CEE7B9B"/>
    <w:rsid w:val="6CFC78C7"/>
    <w:rsid w:val="6D3C3528"/>
    <w:rsid w:val="6D8E6248"/>
    <w:rsid w:val="6DEC2D30"/>
    <w:rsid w:val="6E7B07B6"/>
    <w:rsid w:val="6E9D1541"/>
    <w:rsid w:val="6ECF204C"/>
    <w:rsid w:val="6F3A59BA"/>
    <w:rsid w:val="6F791155"/>
    <w:rsid w:val="70526E7F"/>
    <w:rsid w:val="70ED5612"/>
    <w:rsid w:val="71265DA7"/>
    <w:rsid w:val="71327EAB"/>
    <w:rsid w:val="718A6158"/>
    <w:rsid w:val="71A8573A"/>
    <w:rsid w:val="71EC42E8"/>
    <w:rsid w:val="72554FA1"/>
    <w:rsid w:val="72F643E4"/>
    <w:rsid w:val="7338168C"/>
    <w:rsid w:val="733D0D95"/>
    <w:rsid w:val="74385BBE"/>
    <w:rsid w:val="761C0F14"/>
    <w:rsid w:val="7691034D"/>
    <w:rsid w:val="76912CAF"/>
    <w:rsid w:val="774405E4"/>
    <w:rsid w:val="776F5E0E"/>
    <w:rsid w:val="77715B29"/>
    <w:rsid w:val="7811299F"/>
    <w:rsid w:val="781B437E"/>
    <w:rsid w:val="78B716DA"/>
    <w:rsid w:val="78E85CC7"/>
    <w:rsid w:val="79A45344"/>
    <w:rsid w:val="7A770E0E"/>
    <w:rsid w:val="7AD41E5D"/>
    <w:rsid w:val="7B067A7B"/>
    <w:rsid w:val="7B307437"/>
    <w:rsid w:val="7B7640F8"/>
    <w:rsid w:val="7BE823B6"/>
    <w:rsid w:val="7BFD67A3"/>
    <w:rsid w:val="7C456448"/>
    <w:rsid w:val="7CB400F8"/>
    <w:rsid w:val="7CCD72AA"/>
    <w:rsid w:val="7CD506E3"/>
    <w:rsid w:val="7CDB15DD"/>
    <w:rsid w:val="7CFE6A92"/>
    <w:rsid w:val="7E0F2B4E"/>
    <w:rsid w:val="7EA372BD"/>
    <w:rsid w:val="7F74591C"/>
    <w:rsid w:val="7FF5632E"/>
    <w:rsid w:val="97AFA6EF"/>
    <w:rsid w:val="DEFD6880"/>
    <w:rsid w:val="EEFE2613"/>
    <w:rsid w:val="FB3FB25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iPriority="99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iPriority="99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1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qFormat/>
    <w:uiPriority w:val="0"/>
    <w:pPr>
      <w:widowControl w:val="0"/>
      <w:spacing w:after="120"/>
      <w:ind w:left="420"/>
      <w:jc w:val="both"/>
    </w:pPr>
    <w:rPr>
      <w:rFonts w:ascii="Times New Roman" w:hAnsi="Times New Roman" w:eastAsia="宋体" w:cs="Times New Roman"/>
      <w:kern w:val="1"/>
      <w:sz w:val="21"/>
      <w:szCs w:val="24"/>
      <w:lang w:val="en-US" w:eastAsia="zh-CN" w:bidi="ar-SA"/>
    </w:rPr>
  </w:style>
  <w:style w:type="paragraph" w:styleId="3">
    <w:name w:val="Body Text Indent 2"/>
    <w:qFormat/>
    <w:uiPriority w:val="0"/>
    <w:pPr>
      <w:widowControl w:val="0"/>
      <w:spacing w:after="120" w:line="480" w:lineRule="auto"/>
      <w:ind w:left="420"/>
      <w:jc w:val="both"/>
    </w:pPr>
    <w:rPr>
      <w:rFonts w:ascii="Times New Roman" w:hAnsi="Times New Roman" w:eastAsia="宋体" w:cs="Times New Roman"/>
      <w:kern w:val="1"/>
      <w:sz w:val="21"/>
      <w:szCs w:val="24"/>
      <w:lang w:val="en-US" w:eastAsia="zh-CN" w:bidi="ar-SA"/>
    </w:rPr>
  </w:style>
  <w:style w:type="paragraph" w:styleId="4">
    <w:name w:val="Balloon Text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1"/>
      <w:sz w:val="18"/>
      <w:szCs w:val="18"/>
      <w:lang w:val="en-US" w:eastAsia="zh-CN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6">
    <w:name w:val="header"/>
    <w:qFormat/>
    <w:uiPriority w:val="0"/>
    <w:pPr>
      <w:widowControl w:val="0"/>
      <w:pBdr>
        <w:top w:val="none" w:color="000000" w:sz="0" w:space="3"/>
        <w:left w:val="none" w:color="000000" w:sz="0" w:space="3"/>
        <w:bottom w:val="single" w:color="000000" w:sz="6" w:space="1"/>
        <w:right w:val="none" w:color="000000" w:sz="0" w:space="3"/>
        <w:between w:val="none" w:color="000000" w:sz="0" w:space="0"/>
      </w:pBdr>
      <w:shd w:val="solid" w:color="auto" w:fill="auto"/>
      <w:tabs>
        <w:tab w:val="center" w:pos="4153"/>
        <w:tab w:val="right" w:pos="8306"/>
      </w:tabs>
      <w:jc w:val="center"/>
    </w:pPr>
    <w:rPr>
      <w:rFonts w:ascii="Times New Roman" w:hAnsi="Times New Roman" w:eastAsia="宋体" w:cs="Times New Roman"/>
      <w:kern w:val="1"/>
      <w:sz w:val="18"/>
      <w:szCs w:val="18"/>
      <w:lang w:val="en-US" w:eastAsia="zh-CN" w:bidi="ar-SA"/>
    </w:rPr>
  </w:style>
  <w:style w:type="table" w:styleId="8">
    <w:name w:val="Table Grid"/>
    <w:basedOn w:val="7"/>
    <w:semiHidden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qFormat/>
    <w:uiPriority w:val="0"/>
  </w:style>
  <w:style w:type="paragraph" w:customStyle="1" w:styleId="11">
    <w:name w:val="3"/>
    <w:next w:val="3"/>
    <w:qFormat/>
    <w:uiPriority w:val="0"/>
    <w:pPr>
      <w:widowControl w:val="0"/>
      <w:spacing w:line="520" w:lineRule="exact"/>
      <w:ind w:left="899" w:hanging="899"/>
      <w:jc w:val="both"/>
    </w:pPr>
    <w:rPr>
      <w:rFonts w:ascii="Times New Roman" w:hAnsi="Times New Roman" w:eastAsia="仿宋_GB2312" w:cs="Times New Roman"/>
      <w:kern w:val="1"/>
      <w:sz w:val="28"/>
      <w:szCs w:val="24"/>
      <w:lang w:val="en-US" w:eastAsia="zh-CN" w:bidi="ar-SA"/>
    </w:rPr>
  </w:style>
  <w:style w:type="character" w:customStyle="1" w:styleId="12">
    <w:name w:val="NormalCharacter"/>
    <w:qFormat/>
    <w:uiPriority w:val="0"/>
    <w:rPr>
      <w:rFonts w:ascii="Calibri" w:hAnsi="Calibri" w:eastAsia="Calibri"/>
      <w:kern w:val="0"/>
      <w:sz w:val="20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宋体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1567</Words>
  <Characters>2473</Characters>
  <Lines>24</Lines>
  <Paragraphs>6</Paragraphs>
  <TotalTime>34</TotalTime>
  <ScaleCrop>false</ScaleCrop>
  <LinksUpToDate>false</LinksUpToDate>
  <CharactersWithSpaces>2892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2022-11-29T02:12:00Z</dcterms:created>
  <dc:creator>admin</dc:creator>
  <cp:lastModifiedBy>万水千山</cp:lastModifiedBy>
  <cp:lastPrinted>2025-12-24T08:27:00Z</cp:lastPrinted>
  <dcterms:modified xsi:type="dcterms:W3CDTF">2026-01-04T01:48:31Z</dcterms:modified>
  <dc:title>编号：2007070001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7168987CB411491684F8254ABDE3244A_13</vt:lpwstr>
  </property>
  <property fmtid="{D5CDD505-2E9C-101B-9397-08002B2CF9AE}" pid="4" name="KSOTemplateDocerSaveRecord">
    <vt:lpwstr>eyJoZGlkIjoiZDMxMmYwYjQ4ZmY2NTcwODNmZjhjOTc2MjA3ZGZlZTMiLCJ1c2VySWQiOiIyNDkwMDk0MTUifQ==</vt:lpwstr>
  </property>
</Properties>
</file>